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3D00C" w14:textId="7C92F05B" w:rsidR="006A2A46" w:rsidRDefault="00743723" w:rsidP="00743723">
      <w:pPr>
        <w:tabs>
          <w:tab w:val="left" w:pos="8346"/>
        </w:tabs>
        <w:spacing w:after="0" w:line="240" w:lineRule="auto"/>
        <w:jc w:val="right"/>
        <w:rPr>
          <w:rFonts w:ascii="Calibri" w:eastAsia="Times New Roman" w:hAnsi="Calibri" w:cs="Calibri"/>
          <w:bCs/>
          <w:lang w:eastAsia="pl-PL"/>
        </w:rPr>
      </w:pPr>
      <w:r>
        <w:rPr>
          <w:rFonts w:ascii="Calibri" w:eastAsia="Times New Roman" w:hAnsi="Calibri" w:cs="Calibri"/>
          <w:b/>
          <w:lang w:eastAsia="pl-PL"/>
        </w:rPr>
        <w:tab/>
      </w:r>
      <w:r w:rsidRPr="00743723">
        <w:rPr>
          <w:rFonts w:ascii="Calibri" w:eastAsia="Times New Roman" w:hAnsi="Calibri" w:cs="Calibri"/>
          <w:bCs/>
          <w:lang w:eastAsia="pl-PL"/>
        </w:rPr>
        <w:t>Zał</w:t>
      </w:r>
      <w:r>
        <w:rPr>
          <w:rFonts w:ascii="Calibri" w:eastAsia="Times New Roman" w:hAnsi="Calibri" w:cs="Calibri"/>
          <w:bCs/>
          <w:lang w:eastAsia="pl-PL"/>
        </w:rPr>
        <w:t>ącznik Nr 1 do</w:t>
      </w:r>
    </w:p>
    <w:p w14:paraId="2C1BBB49" w14:textId="41F29820" w:rsidR="00743723" w:rsidRDefault="00743723" w:rsidP="00743723">
      <w:pPr>
        <w:tabs>
          <w:tab w:val="left" w:pos="8346"/>
        </w:tabs>
        <w:spacing w:after="0" w:line="240" w:lineRule="auto"/>
        <w:jc w:val="right"/>
        <w:rPr>
          <w:rFonts w:ascii="Calibri" w:eastAsia="Times New Roman" w:hAnsi="Calibri" w:cs="Calibri"/>
          <w:bCs/>
          <w:lang w:eastAsia="pl-PL"/>
        </w:rPr>
      </w:pPr>
      <w:r>
        <w:rPr>
          <w:rFonts w:ascii="Calibri" w:eastAsia="Times New Roman" w:hAnsi="Calibri" w:cs="Calibri"/>
          <w:bCs/>
          <w:lang w:eastAsia="pl-PL"/>
        </w:rPr>
        <w:t>Zarządzenia Wójta Nr 76/2020</w:t>
      </w:r>
    </w:p>
    <w:p w14:paraId="12C2E902" w14:textId="72ABB92C" w:rsidR="00743723" w:rsidRPr="00743723" w:rsidRDefault="00743723" w:rsidP="00743723">
      <w:pPr>
        <w:tabs>
          <w:tab w:val="left" w:pos="8346"/>
        </w:tabs>
        <w:spacing w:after="0" w:line="240" w:lineRule="auto"/>
        <w:jc w:val="right"/>
        <w:rPr>
          <w:rFonts w:ascii="Calibri" w:eastAsia="Times New Roman" w:hAnsi="Calibri" w:cs="Calibri"/>
          <w:bCs/>
          <w:lang w:eastAsia="pl-PL"/>
        </w:rPr>
      </w:pPr>
      <w:r>
        <w:rPr>
          <w:rFonts w:ascii="Calibri" w:eastAsia="Times New Roman" w:hAnsi="Calibri" w:cs="Calibri"/>
          <w:bCs/>
          <w:lang w:eastAsia="pl-PL"/>
        </w:rPr>
        <w:t>z dnia 31.12.2020</w:t>
      </w:r>
    </w:p>
    <w:p w14:paraId="4C814808" w14:textId="77777777" w:rsidR="006A2A46" w:rsidRPr="006A2A46" w:rsidRDefault="006A2A46" w:rsidP="006A2A46">
      <w:pPr>
        <w:spacing w:after="120" w:line="276" w:lineRule="auto"/>
        <w:rPr>
          <w:rFonts w:ascii="Calibri" w:eastAsia="Times New Roman" w:hAnsi="Calibri" w:cs="Calibri"/>
          <w:b/>
          <w:lang w:eastAsia="pl-PL"/>
        </w:rPr>
      </w:pPr>
      <w:r w:rsidRPr="006A2A46">
        <w:rPr>
          <w:rFonts w:ascii="Calibri" w:eastAsia="Times New Roman" w:hAnsi="Calibri" w:cs="Calibri"/>
          <w:b/>
          <w:lang w:eastAsia="pl-PL"/>
        </w:rPr>
        <w:t xml:space="preserve"> </w:t>
      </w:r>
    </w:p>
    <w:p w14:paraId="16B5356C" w14:textId="77777777" w:rsidR="006A2A46" w:rsidRPr="006A2A46" w:rsidRDefault="006A2A46" w:rsidP="006A2A46">
      <w:pPr>
        <w:spacing w:after="120" w:line="276" w:lineRule="auto"/>
        <w:rPr>
          <w:rFonts w:ascii="Calibri" w:eastAsia="Times New Roman" w:hAnsi="Calibri" w:cs="Calibri"/>
          <w:b/>
          <w:lang w:eastAsia="pl-PL"/>
        </w:rPr>
      </w:pPr>
    </w:p>
    <w:p w14:paraId="40CF33E5" w14:textId="77777777" w:rsidR="006A2A46" w:rsidRPr="006A2A46" w:rsidRDefault="006A2A46" w:rsidP="006A2A46">
      <w:pPr>
        <w:spacing w:after="120" w:line="276" w:lineRule="auto"/>
        <w:rPr>
          <w:rFonts w:ascii="Calibri" w:eastAsia="Times New Roman" w:hAnsi="Calibri" w:cs="Calibri"/>
          <w:b/>
          <w:lang w:eastAsia="pl-PL"/>
        </w:rPr>
      </w:pPr>
    </w:p>
    <w:p w14:paraId="6806B2DA" w14:textId="59DD365A" w:rsidR="006A2A46" w:rsidRDefault="00630ACC" w:rsidP="006A2A46">
      <w:pPr>
        <w:spacing w:after="120" w:line="276" w:lineRule="auto"/>
        <w:jc w:val="center"/>
        <w:rPr>
          <w:rFonts w:ascii="Calibri" w:eastAsia="Times New Roman" w:hAnsi="Calibri" w:cs="Calibri"/>
          <w:b/>
          <w:sz w:val="40"/>
          <w:szCs w:val="40"/>
          <w:lang w:eastAsia="pl-PL"/>
        </w:rPr>
      </w:pPr>
      <w:r>
        <w:rPr>
          <w:rFonts w:ascii="Calibri" w:eastAsia="Times New Roman" w:hAnsi="Calibri" w:cs="Calibri"/>
          <w:b/>
          <w:sz w:val="40"/>
          <w:szCs w:val="40"/>
          <w:lang w:eastAsia="pl-PL"/>
        </w:rPr>
        <w:t>GMINA</w:t>
      </w:r>
      <w:r w:rsidR="008D21C1">
        <w:rPr>
          <w:rFonts w:ascii="Calibri" w:eastAsia="Times New Roman" w:hAnsi="Calibri" w:cs="Calibri"/>
          <w:b/>
          <w:sz w:val="40"/>
          <w:szCs w:val="40"/>
          <w:lang w:eastAsia="pl-PL"/>
        </w:rPr>
        <w:t xml:space="preserve"> </w:t>
      </w:r>
      <w:r w:rsidR="00524738">
        <w:rPr>
          <w:rFonts w:ascii="Calibri" w:eastAsia="Times New Roman" w:hAnsi="Calibri" w:cs="Calibri"/>
          <w:b/>
          <w:sz w:val="40"/>
          <w:szCs w:val="40"/>
          <w:lang w:eastAsia="pl-PL"/>
        </w:rPr>
        <w:t>RADZANÓW</w:t>
      </w:r>
    </w:p>
    <w:p w14:paraId="64084D27" w14:textId="77777777" w:rsidR="006A2A46" w:rsidRPr="006A2A46" w:rsidRDefault="006A2A46" w:rsidP="006A2A46">
      <w:pPr>
        <w:spacing w:after="120" w:line="276" w:lineRule="auto"/>
        <w:rPr>
          <w:rFonts w:ascii="Calibri" w:eastAsia="Times New Roman" w:hAnsi="Calibri" w:cs="Calibri"/>
          <w:b/>
          <w:lang w:eastAsia="pl-PL"/>
        </w:rPr>
      </w:pPr>
    </w:p>
    <w:p w14:paraId="2D84C9F4" w14:textId="77777777" w:rsidR="006A2A46" w:rsidRPr="006A2A46" w:rsidRDefault="006A2A46" w:rsidP="006A2A46">
      <w:pPr>
        <w:spacing w:after="120" w:line="276" w:lineRule="auto"/>
        <w:rPr>
          <w:rFonts w:ascii="Calibri" w:eastAsia="Times New Roman" w:hAnsi="Calibri" w:cs="Calibri"/>
          <w:b/>
          <w:lang w:eastAsia="pl-PL"/>
        </w:rPr>
      </w:pPr>
    </w:p>
    <w:p w14:paraId="5A4467FC" w14:textId="77777777" w:rsidR="006A2A46" w:rsidRPr="006A2A46" w:rsidRDefault="006A2A46" w:rsidP="006A2A46">
      <w:pPr>
        <w:spacing w:after="120" w:line="276" w:lineRule="auto"/>
        <w:rPr>
          <w:rFonts w:ascii="Calibri" w:eastAsia="Times New Roman" w:hAnsi="Calibri" w:cs="Calibri"/>
          <w:b/>
          <w:lang w:eastAsia="pl-PL"/>
        </w:rPr>
      </w:pPr>
    </w:p>
    <w:p w14:paraId="0D56204B" w14:textId="77777777" w:rsidR="006A2A46" w:rsidRPr="006A2A46" w:rsidRDefault="006A2A46" w:rsidP="006A2A46">
      <w:pPr>
        <w:spacing w:after="120" w:line="276" w:lineRule="auto"/>
        <w:rPr>
          <w:rFonts w:ascii="Calibri" w:eastAsia="Times New Roman" w:hAnsi="Calibri" w:cs="Calibri"/>
          <w:b/>
          <w:lang w:eastAsia="pl-PL"/>
        </w:rPr>
      </w:pPr>
    </w:p>
    <w:p w14:paraId="3C218662" w14:textId="77777777" w:rsidR="006A2A46" w:rsidRPr="006A2A46" w:rsidRDefault="006A2A46" w:rsidP="006A2A46">
      <w:pPr>
        <w:spacing w:after="200" w:line="276" w:lineRule="auto"/>
        <w:jc w:val="center"/>
        <w:rPr>
          <w:rFonts w:ascii="Calibri" w:eastAsia="Times New Roman" w:hAnsi="Calibri" w:cs="Calibri"/>
          <w:b/>
          <w:sz w:val="24"/>
          <w:lang w:eastAsia="pl-PL"/>
        </w:rPr>
      </w:pPr>
      <w:r w:rsidRPr="006A2A46">
        <w:rPr>
          <w:rFonts w:ascii="Calibri" w:eastAsia="Times New Roman" w:hAnsi="Calibri" w:cs="Calibri"/>
          <w:b/>
          <w:sz w:val="24"/>
          <w:lang w:eastAsia="pl-PL"/>
        </w:rPr>
        <w:t>PROCEDURA</w:t>
      </w:r>
    </w:p>
    <w:p w14:paraId="6D2D2CB9" w14:textId="5C94D471" w:rsidR="006A2A46" w:rsidRPr="006A2A46" w:rsidRDefault="006A2A46" w:rsidP="006A2A46">
      <w:pPr>
        <w:spacing w:after="120" w:line="276" w:lineRule="auto"/>
        <w:jc w:val="center"/>
        <w:rPr>
          <w:rFonts w:ascii="Calibri" w:eastAsia="Times New Roman" w:hAnsi="Calibri" w:cs="Calibri"/>
          <w:sz w:val="24"/>
          <w:lang w:eastAsia="pl-PL"/>
        </w:rPr>
      </w:pPr>
      <w:r w:rsidRPr="006A2A46">
        <w:rPr>
          <w:rFonts w:ascii="Calibri" w:eastAsia="Times New Roman" w:hAnsi="Calibri" w:cs="Calibri"/>
          <w:sz w:val="24"/>
          <w:lang w:eastAsia="pl-PL"/>
        </w:rPr>
        <w:t xml:space="preserve">REALIZACJI PRZEZ </w:t>
      </w:r>
      <w:r w:rsidR="00630ACC">
        <w:rPr>
          <w:rFonts w:ascii="Calibri" w:eastAsia="Times New Roman" w:hAnsi="Calibri" w:cs="Calibri"/>
          <w:sz w:val="24"/>
          <w:lang w:eastAsia="pl-PL"/>
        </w:rPr>
        <w:t xml:space="preserve">GMINĘ </w:t>
      </w:r>
      <w:r w:rsidR="00524738">
        <w:rPr>
          <w:rFonts w:ascii="Calibri" w:eastAsia="Times New Roman" w:hAnsi="Calibri" w:cs="Calibri"/>
          <w:sz w:val="24"/>
          <w:lang w:eastAsia="pl-PL"/>
        </w:rPr>
        <w:t>RADZANÓW</w:t>
      </w:r>
      <w:r w:rsidR="00630ACC">
        <w:rPr>
          <w:rFonts w:ascii="Calibri" w:eastAsia="Times New Roman" w:hAnsi="Calibri" w:cs="Calibri"/>
          <w:sz w:val="24"/>
          <w:lang w:eastAsia="pl-PL"/>
        </w:rPr>
        <w:t xml:space="preserve"> OBOWIĄZKÓW</w:t>
      </w:r>
      <w:r w:rsidRPr="006A2A46">
        <w:rPr>
          <w:rFonts w:ascii="Calibri" w:eastAsia="Times New Roman" w:hAnsi="Calibri" w:cs="Calibri"/>
          <w:sz w:val="24"/>
          <w:lang w:eastAsia="pl-PL"/>
        </w:rPr>
        <w:t xml:space="preserve"> W ZAKRESIE IDENTYFIKACJI SCHEMATÓW PODATKOWYCH ORAZ PRZEKAZYWANIA INFORMACJI O SCHEMATACH PODATKOWYCH</w:t>
      </w:r>
    </w:p>
    <w:p w14:paraId="7919AE37" w14:textId="77777777" w:rsidR="006A2A46" w:rsidRPr="006A2A46" w:rsidRDefault="006A2A46" w:rsidP="006A2A46">
      <w:pPr>
        <w:spacing w:after="0" w:line="276" w:lineRule="auto"/>
        <w:jc w:val="center"/>
        <w:rPr>
          <w:rFonts w:ascii="Calibri" w:eastAsia="Times New Roman" w:hAnsi="Calibri" w:cs="Calibri"/>
          <w:b/>
          <w:lang w:eastAsia="pl-PL"/>
        </w:rPr>
      </w:pPr>
    </w:p>
    <w:p w14:paraId="693D5B4E" w14:textId="77777777" w:rsidR="006A2A46" w:rsidRPr="006A2A46" w:rsidRDefault="006A2A46" w:rsidP="006A2A46">
      <w:pPr>
        <w:spacing w:after="0" w:line="276" w:lineRule="auto"/>
        <w:jc w:val="center"/>
        <w:rPr>
          <w:rFonts w:ascii="Calibri" w:eastAsia="Times New Roman" w:hAnsi="Calibri" w:cs="Calibri"/>
          <w:b/>
          <w:lang w:eastAsia="pl-PL"/>
        </w:rPr>
      </w:pPr>
    </w:p>
    <w:p w14:paraId="71E4ABC1" w14:textId="77777777" w:rsidR="006A2A46" w:rsidRPr="006A2A46" w:rsidRDefault="006A2A46" w:rsidP="006A2A46">
      <w:pPr>
        <w:spacing w:after="120" w:line="276" w:lineRule="auto"/>
        <w:jc w:val="center"/>
        <w:rPr>
          <w:rFonts w:ascii="Calibri" w:eastAsia="Times New Roman" w:hAnsi="Calibri" w:cs="Calibri"/>
          <w:sz w:val="24"/>
          <w:lang w:eastAsia="pl-PL"/>
        </w:rPr>
      </w:pPr>
    </w:p>
    <w:p w14:paraId="6C9E04F2" w14:textId="77777777" w:rsidR="006A2A46" w:rsidRPr="006A2A46" w:rsidRDefault="006A2A46" w:rsidP="006A2A46">
      <w:pPr>
        <w:spacing w:after="0" w:line="276" w:lineRule="auto"/>
        <w:jc w:val="center"/>
        <w:rPr>
          <w:rFonts w:ascii="Calibri" w:eastAsia="Times New Roman" w:hAnsi="Calibri" w:cs="Calibri"/>
          <w:b/>
          <w:lang w:eastAsia="pl-PL"/>
        </w:rPr>
      </w:pPr>
    </w:p>
    <w:p w14:paraId="05309F3E" w14:textId="77777777" w:rsidR="006A2A46" w:rsidRPr="006A2A46" w:rsidRDefault="006A2A46" w:rsidP="006A2A46">
      <w:pPr>
        <w:spacing w:after="0" w:line="276" w:lineRule="auto"/>
        <w:jc w:val="center"/>
        <w:rPr>
          <w:rFonts w:ascii="Calibri" w:eastAsia="Times New Roman" w:hAnsi="Calibri" w:cs="Calibri"/>
          <w:b/>
          <w:lang w:eastAsia="pl-PL"/>
        </w:rPr>
      </w:pPr>
    </w:p>
    <w:p w14:paraId="3559D395" w14:textId="77777777" w:rsidR="006A2A46" w:rsidRPr="006A2A46" w:rsidRDefault="006A2A46" w:rsidP="006A2A46">
      <w:pPr>
        <w:spacing w:after="0" w:line="276" w:lineRule="auto"/>
        <w:jc w:val="center"/>
        <w:rPr>
          <w:rFonts w:ascii="Calibri" w:eastAsia="Times New Roman" w:hAnsi="Calibri" w:cs="Calibri"/>
          <w:b/>
          <w:lang w:eastAsia="pl-PL"/>
        </w:rPr>
      </w:pPr>
    </w:p>
    <w:p w14:paraId="5216CE99" w14:textId="77777777" w:rsidR="006A2A46" w:rsidRPr="006A2A46" w:rsidRDefault="006A2A46" w:rsidP="006A2A46">
      <w:pPr>
        <w:spacing w:after="0" w:line="240" w:lineRule="auto"/>
        <w:rPr>
          <w:rFonts w:ascii="Calibri" w:eastAsia="Times New Roman" w:hAnsi="Calibri" w:cs="Calibri"/>
          <w:lang w:eastAsia="pl-PL"/>
        </w:rPr>
      </w:pPr>
      <w:r w:rsidRPr="006A2A46">
        <w:rPr>
          <w:rFonts w:ascii="Calibri" w:eastAsia="Times New Roman" w:hAnsi="Calibri" w:cs="Calibri"/>
          <w:lang w:eastAsia="pl-PL"/>
        </w:rPr>
        <w:br w:type="page"/>
      </w:r>
    </w:p>
    <w:sdt>
      <w:sdtPr>
        <w:rPr>
          <w:rFonts w:ascii="Calibri" w:eastAsia="Times New Roman" w:hAnsi="Calibri" w:cs="Calibri"/>
          <w:lang w:eastAsia="pl-PL"/>
        </w:rPr>
        <w:id w:val="-1362896516"/>
        <w:docPartObj>
          <w:docPartGallery w:val="Table of Contents"/>
          <w:docPartUnique/>
        </w:docPartObj>
      </w:sdtPr>
      <w:sdtEndPr>
        <w:rPr>
          <w:b/>
          <w:bCs/>
          <w:noProof/>
        </w:rPr>
      </w:sdtEndPr>
      <w:sdtContent>
        <w:p w14:paraId="57128335" w14:textId="77777777" w:rsidR="006A2A46" w:rsidRPr="006A2A46" w:rsidRDefault="006A2A46" w:rsidP="006A2A46">
          <w:pPr>
            <w:keepNext/>
            <w:keepLines/>
            <w:spacing w:before="240" w:after="0"/>
            <w:rPr>
              <w:rFonts w:ascii="Calibri" w:eastAsia="Times New Roman" w:hAnsi="Calibri" w:cs="Calibri"/>
              <w:sz w:val="32"/>
              <w:szCs w:val="32"/>
              <w:lang w:val="en-US"/>
            </w:rPr>
          </w:pPr>
          <w:r w:rsidRPr="006A2A46">
            <w:rPr>
              <w:rFonts w:ascii="Calibri" w:eastAsia="Times New Roman" w:hAnsi="Calibri" w:cs="Calibri"/>
              <w:sz w:val="32"/>
              <w:szCs w:val="32"/>
            </w:rPr>
            <w:t>Spis Treści</w:t>
          </w:r>
        </w:p>
        <w:p w14:paraId="116DCD68" w14:textId="370BA8C7" w:rsidR="00EB173F" w:rsidRDefault="006A2A46">
          <w:pPr>
            <w:pStyle w:val="Spistreci1"/>
            <w:tabs>
              <w:tab w:val="right" w:leader="dot" w:pos="10763"/>
            </w:tabs>
            <w:rPr>
              <w:rFonts w:eastAsiaTheme="minorEastAsia"/>
              <w:noProof/>
              <w:lang w:eastAsia="pl-PL"/>
            </w:rPr>
          </w:pPr>
          <w:r w:rsidRPr="006A2A46">
            <w:rPr>
              <w:rFonts w:ascii="Calibri" w:eastAsia="Times New Roman" w:hAnsi="Calibri" w:cs="Calibri"/>
              <w:b/>
              <w:bCs/>
              <w:noProof/>
              <w:highlight w:val="yellow"/>
              <w:lang w:eastAsia="pl-PL"/>
            </w:rPr>
            <w:fldChar w:fldCharType="begin"/>
          </w:r>
          <w:r w:rsidRPr="006A2A46">
            <w:rPr>
              <w:rFonts w:ascii="Calibri" w:eastAsia="Times New Roman" w:hAnsi="Calibri" w:cs="Calibri"/>
              <w:b/>
              <w:bCs/>
              <w:noProof/>
              <w:highlight w:val="yellow"/>
              <w:lang w:eastAsia="pl-PL"/>
            </w:rPr>
            <w:instrText xml:space="preserve"> TOC \o "1-3" \h \z \u </w:instrText>
          </w:r>
          <w:r w:rsidRPr="006A2A46">
            <w:rPr>
              <w:rFonts w:ascii="Calibri" w:eastAsia="Times New Roman" w:hAnsi="Calibri" w:cs="Calibri"/>
              <w:b/>
              <w:bCs/>
              <w:noProof/>
              <w:highlight w:val="yellow"/>
              <w:lang w:eastAsia="pl-PL"/>
            </w:rPr>
            <w:fldChar w:fldCharType="separate"/>
          </w:r>
          <w:hyperlink w:anchor="_Toc65505159" w:history="1">
            <w:r w:rsidR="00EB173F" w:rsidRPr="001D4E1C">
              <w:rPr>
                <w:rStyle w:val="Hipercze"/>
                <w:rFonts w:ascii="Calibri" w:eastAsia="Times New Roman" w:hAnsi="Calibri" w:cs="Calibri"/>
                <w:b/>
                <w:noProof/>
              </w:rPr>
              <w:t>I. ZAGADNIENIA OGÓLNE</w:t>
            </w:r>
            <w:r w:rsidR="00EB173F">
              <w:rPr>
                <w:noProof/>
                <w:webHidden/>
              </w:rPr>
              <w:tab/>
            </w:r>
            <w:r w:rsidR="00EB173F">
              <w:rPr>
                <w:noProof/>
                <w:webHidden/>
              </w:rPr>
              <w:fldChar w:fldCharType="begin"/>
            </w:r>
            <w:r w:rsidR="00EB173F">
              <w:rPr>
                <w:noProof/>
                <w:webHidden/>
              </w:rPr>
              <w:instrText xml:space="preserve"> PAGEREF _Toc65505159 \h </w:instrText>
            </w:r>
            <w:r w:rsidR="00EB173F">
              <w:rPr>
                <w:noProof/>
                <w:webHidden/>
              </w:rPr>
            </w:r>
            <w:r w:rsidR="00EB173F">
              <w:rPr>
                <w:noProof/>
                <w:webHidden/>
              </w:rPr>
              <w:fldChar w:fldCharType="separate"/>
            </w:r>
            <w:r w:rsidR="00743723">
              <w:rPr>
                <w:noProof/>
                <w:webHidden/>
              </w:rPr>
              <w:t>3</w:t>
            </w:r>
            <w:r w:rsidR="00EB173F">
              <w:rPr>
                <w:noProof/>
                <w:webHidden/>
              </w:rPr>
              <w:fldChar w:fldCharType="end"/>
            </w:r>
          </w:hyperlink>
        </w:p>
        <w:p w14:paraId="3C6DC840" w14:textId="721C90EA" w:rsidR="00EB173F" w:rsidRDefault="00C320CB">
          <w:pPr>
            <w:pStyle w:val="Spistreci1"/>
            <w:tabs>
              <w:tab w:val="right" w:leader="dot" w:pos="10763"/>
            </w:tabs>
            <w:rPr>
              <w:rFonts w:eastAsiaTheme="minorEastAsia"/>
              <w:noProof/>
              <w:lang w:eastAsia="pl-PL"/>
            </w:rPr>
          </w:pPr>
          <w:hyperlink w:anchor="_Toc65505160" w:history="1">
            <w:r w:rsidR="00EB173F" w:rsidRPr="001D4E1C">
              <w:rPr>
                <w:rStyle w:val="Hipercze"/>
                <w:rFonts w:ascii="Calibri" w:eastAsia="Times New Roman" w:hAnsi="Calibri" w:cs="Calibri"/>
                <w:b/>
                <w:bCs/>
                <w:noProof/>
                <w:kern w:val="32"/>
                <w:lang w:eastAsia="x-none"/>
              </w:rPr>
              <w:t xml:space="preserve">II. </w:t>
            </w:r>
            <w:r w:rsidR="00EB173F" w:rsidRPr="001D4E1C">
              <w:rPr>
                <w:rStyle w:val="Hipercze"/>
                <w:rFonts w:ascii="Calibri" w:eastAsia="Times New Roman" w:hAnsi="Calibri" w:cs="Calibri"/>
                <w:b/>
                <w:bCs/>
                <w:noProof/>
                <w:kern w:val="32"/>
                <w:lang w:val="x-none" w:eastAsia="x-none"/>
              </w:rPr>
              <w:t>INFORMACJE WSTĘ</w:t>
            </w:r>
            <w:r w:rsidR="00EB173F" w:rsidRPr="001D4E1C">
              <w:rPr>
                <w:rStyle w:val="Hipercze"/>
                <w:rFonts w:ascii="Calibri" w:eastAsia="Times New Roman" w:hAnsi="Calibri" w:cs="Calibri"/>
                <w:b/>
                <w:bCs/>
                <w:noProof/>
                <w:kern w:val="32"/>
                <w:lang w:eastAsia="x-none"/>
              </w:rPr>
              <w:t>NE</w:t>
            </w:r>
            <w:r w:rsidR="00EB173F">
              <w:rPr>
                <w:noProof/>
                <w:webHidden/>
              </w:rPr>
              <w:tab/>
            </w:r>
            <w:r w:rsidR="00EB173F">
              <w:rPr>
                <w:noProof/>
                <w:webHidden/>
              </w:rPr>
              <w:fldChar w:fldCharType="begin"/>
            </w:r>
            <w:r w:rsidR="00EB173F">
              <w:rPr>
                <w:noProof/>
                <w:webHidden/>
              </w:rPr>
              <w:instrText xml:space="preserve"> PAGEREF _Toc65505160 \h </w:instrText>
            </w:r>
            <w:r w:rsidR="00EB173F">
              <w:rPr>
                <w:noProof/>
                <w:webHidden/>
              </w:rPr>
            </w:r>
            <w:r w:rsidR="00EB173F">
              <w:rPr>
                <w:noProof/>
                <w:webHidden/>
              </w:rPr>
              <w:fldChar w:fldCharType="separate"/>
            </w:r>
            <w:r w:rsidR="00743723">
              <w:rPr>
                <w:noProof/>
                <w:webHidden/>
              </w:rPr>
              <w:t>3</w:t>
            </w:r>
            <w:r w:rsidR="00EB173F">
              <w:rPr>
                <w:noProof/>
                <w:webHidden/>
              </w:rPr>
              <w:fldChar w:fldCharType="end"/>
            </w:r>
          </w:hyperlink>
        </w:p>
        <w:p w14:paraId="5AA8254D" w14:textId="3D88FDE2" w:rsidR="00EB173F" w:rsidRDefault="00C320CB">
          <w:pPr>
            <w:pStyle w:val="Spistreci1"/>
            <w:tabs>
              <w:tab w:val="right" w:leader="dot" w:pos="10763"/>
            </w:tabs>
            <w:rPr>
              <w:rFonts w:eastAsiaTheme="minorEastAsia"/>
              <w:noProof/>
              <w:lang w:eastAsia="pl-PL"/>
            </w:rPr>
          </w:pPr>
          <w:hyperlink w:anchor="_Toc65505161" w:history="1">
            <w:r w:rsidR="00EB173F" w:rsidRPr="001D4E1C">
              <w:rPr>
                <w:rStyle w:val="Hipercze"/>
                <w:rFonts w:ascii="Calibri" w:eastAsia="Times New Roman" w:hAnsi="Calibri" w:cs="Calibri"/>
                <w:b/>
                <w:bCs/>
                <w:noProof/>
                <w:kern w:val="32"/>
                <w:lang w:eastAsia="x-none"/>
              </w:rPr>
              <w:t>PROCES 1A</w:t>
            </w:r>
            <w:r w:rsidR="00EB173F" w:rsidRPr="001D4E1C">
              <w:rPr>
                <w:rStyle w:val="Hipercze"/>
                <w:rFonts w:eastAsia="Times New Roman" w:cstheme="minorHAnsi"/>
                <w:b/>
                <w:bCs/>
                <w:noProof/>
                <w:kern w:val="32"/>
                <w:lang w:eastAsia="x-none"/>
              </w:rPr>
              <w:t xml:space="preserve">: </w:t>
            </w:r>
            <w:r w:rsidR="00EB173F" w:rsidRPr="001D4E1C">
              <w:rPr>
                <w:rStyle w:val="Hipercze"/>
                <w:rFonts w:ascii="Calibri" w:hAnsi="Calibri" w:cstheme="minorHAnsi"/>
                <w:b/>
                <w:bCs/>
                <w:noProof/>
                <w:kern w:val="32"/>
                <w:lang w:val="x-none" w:eastAsia="x-none"/>
              </w:rPr>
              <w:t xml:space="preserve">Identyfikacja </w:t>
            </w:r>
            <w:r w:rsidR="00EB173F" w:rsidRPr="001D4E1C">
              <w:rPr>
                <w:rStyle w:val="Hipercze"/>
                <w:rFonts w:cstheme="minorHAnsi"/>
                <w:b/>
                <w:bCs/>
                <w:noProof/>
                <w:kern w:val="32"/>
                <w:lang w:val="x-none" w:eastAsia="x-none"/>
              </w:rPr>
              <w:t xml:space="preserve">obowiązków raportowych </w:t>
            </w:r>
            <w:r w:rsidR="00EB173F" w:rsidRPr="001D4E1C">
              <w:rPr>
                <w:rStyle w:val="Hipercze"/>
                <w:rFonts w:cstheme="minorHAnsi"/>
                <w:b/>
                <w:bCs/>
                <w:noProof/>
                <w:kern w:val="32"/>
                <w:lang w:eastAsia="x-none"/>
              </w:rPr>
              <w:t>Gminy</w:t>
            </w:r>
            <w:r w:rsidR="00EB173F" w:rsidRPr="001D4E1C">
              <w:rPr>
                <w:rStyle w:val="Hipercze"/>
                <w:rFonts w:cstheme="minorHAnsi"/>
                <w:b/>
                <w:bCs/>
                <w:noProof/>
                <w:kern w:val="32"/>
                <w:lang w:val="x-none" w:eastAsia="x-none"/>
              </w:rPr>
              <w:t xml:space="preserve"> – Promotora</w:t>
            </w:r>
            <w:r w:rsidR="00EB173F">
              <w:rPr>
                <w:noProof/>
                <w:webHidden/>
              </w:rPr>
              <w:tab/>
            </w:r>
            <w:r w:rsidR="00EB173F">
              <w:rPr>
                <w:noProof/>
                <w:webHidden/>
              </w:rPr>
              <w:fldChar w:fldCharType="begin"/>
            </w:r>
            <w:r w:rsidR="00EB173F">
              <w:rPr>
                <w:noProof/>
                <w:webHidden/>
              </w:rPr>
              <w:instrText xml:space="preserve"> PAGEREF _Toc65505161 \h </w:instrText>
            </w:r>
            <w:r w:rsidR="00EB173F">
              <w:rPr>
                <w:noProof/>
                <w:webHidden/>
              </w:rPr>
            </w:r>
            <w:r w:rsidR="00EB173F">
              <w:rPr>
                <w:noProof/>
                <w:webHidden/>
              </w:rPr>
              <w:fldChar w:fldCharType="separate"/>
            </w:r>
            <w:r w:rsidR="00743723">
              <w:rPr>
                <w:noProof/>
                <w:webHidden/>
              </w:rPr>
              <w:t>4</w:t>
            </w:r>
            <w:r w:rsidR="00EB173F">
              <w:rPr>
                <w:noProof/>
                <w:webHidden/>
              </w:rPr>
              <w:fldChar w:fldCharType="end"/>
            </w:r>
          </w:hyperlink>
        </w:p>
        <w:p w14:paraId="7FABE3F2" w14:textId="20B3AED6" w:rsidR="00EB173F" w:rsidRDefault="00C320CB">
          <w:pPr>
            <w:pStyle w:val="Spistreci1"/>
            <w:tabs>
              <w:tab w:val="right" w:leader="dot" w:pos="10763"/>
            </w:tabs>
            <w:rPr>
              <w:rFonts w:eastAsiaTheme="minorEastAsia"/>
              <w:noProof/>
              <w:lang w:eastAsia="pl-PL"/>
            </w:rPr>
          </w:pPr>
          <w:hyperlink w:anchor="_Toc65505162" w:history="1">
            <w:r w:rsidR="00EB173F" w:rsidRPr="001D4E1C">
              <w:rPr>
                <w:rStyle w:val="Hipercze"/>
                <w:rFonts w:ascii="Calibri" w:eastAsia="Times New Roman" w:hAnsi="Calibri" w:cs="Calibri"/>
                <w:b/>
                <w:bCs/>
                <w:noProof/>
                <w:kern w:val="32"/>
                <w:lang w:eastAsia="x-none"/>
              </w:rPr>
              <w:t xml:space="preserve">PROCES 1B: </w:t>
            </w:r>
            <w:r w:rsidR="00EB173F" w:rsidRPr="001D4E1C">
              <w:rPr>
                <w:rStyle w:val="Hipercze"/>
                <w:rFonts w:ascii="Calibri" w:eastAsia="Times New Roman" w:hAnsi="Calibri" w:cs="Calibri"/>
                <w:b/>
                <w:bCs/>
                <w:noProof/>
                <w:kern w:val="32"/>
                <w:lang w:val="x-none" w:eastAsia="x-none"/>
              </w:rPr>
              <w:t xml:space="preserve">Identyfikacja obowiązków raportowych </w:t>
            </w:r>
            <w:r w:rsidR="00EB173F" w:rsidRPr="001D4E1C">
              <w:rPr>
                <w:rStyle w:val="Hipercze"/>
                <w:rFonts w:ascii="Calibri" w:eastAsia="Times New Roman" w:hAnsi="Calibri" w:cs="Calibri"/>
                <w:b/>
                <w:bCs/>
                <w:noProof/>
                <w:kern w:val="32"/>
                <w:lang w:eastAsia="x-none"/>
              </w:rPr>
              <w:t>Gminy</w:t>
            </w:r>
            <w:r w:rsidR="00EB173F" w:rsidRPr="001D4E1C">
              <w:rPr>
                <w:rStyle w:val="Hipercze"/>
                <w:rFonts w:ascii="Calibri" w:eastAsia="Times New Roman" w:hAnsi="Calibri" w:cs="Calibri"/>
                <w:b/>
                <w:bCs/>
                <w:noProof/>
                <w:kern w:val="32"/>
                <w:lang w:val="x-none" w:eastAsia="x-none"/>
              </w:rPr>
              <w:t xml:space="preserve"> - W</w:t>
            </w:r>
            <w:r w:rsidR="00EB173F" w:rsidRPr="001D4E1C">
              <w:rPr>
                <w:rStyle w:val="Hipercze"/>
                <w:rFonts w:ascii="Calibri" w:eastAsia="Times New Roman" w:hAnsi="Calibri" w:cs="Calibri"/>
                <w:b/>
                <w:bCs/>
                <w:noProof/>
                <w:kern w:val="32"/>
                <w:lang w:eastAsia="x-none"/>
              </w:rPr>
              <w:t>spomagającego</w:t>
            </w:r>
            <w:r w:rsidR="00EB173F">
              <w:rPr>
                <w:noProof/>
                <w:webHidden/>
              </w:rPr>
              <w:tab/>
            </w:r>
            <w:r w:rsidR="00EB173F">
              <w:rPr>
                <w:noProof/>
                <w:webHidden/>
              </w:rPr>
              <w:fldChar w:fldCharType="begin"/>
            </w:r>
            <w:r w:rsidR="00EB173F">
              <w:rPr>
                <w:noProof/>
                <w:webHidden/>
              </w:rPr>
              <w:instrText xml:space="preserve"> PAGEREF _Toc65505162 \h </w:instrText>
            </w:r>
            <w:r w:rsidR="00EB173F">
              <w:rPr>
                <w:noProof/>
                <w:webHidden/>
              </w:rPr>
            </w:r>
            <w:r w:rsidR="00EB173F">
              <w:rPr>
                <w:noProof/>
                <w:webHidden/>
              </w:rPr>
              <w:fldChar w:fldCharType="separate"/>
            </w:r>
            <w:r w:rsidR="00743723">
              <w:rPr>
                <w:noProof/>
                <w:webHidden/>
              </w:rPr>
              <w:t>5</w:t>
            </w:r>
            <w:r w:rsidR="00EB173F">
              <w:rPr>
                <w:noProof/>
                <w:webHidden/>
              </w:rPr>
              <w:fldChar w:fldCharType="end"/>
            </w:r>
          </w:hyperlink>
        </w:p>
        <w:p w14:paraId="0054A71D" w14:textId="49F498EA" w:rsidR="00EB173F" w:rsidRDefault="00C320CB">
          <w:pPr>
            <w:pStyle w:val="Spistreci1"/>
            <w:tabs>
              <w:tab w:val="right" w:leader="dot" w:pos="10763"/>
            </w:tabs>
            <w:rPr>
              <w:rFonts w:eastAsiaTheme="minorEastAsia"/>
              <w:noProof/>
              <w:lang w:eastAsia="pl-PL"/>
            </w:rPr>
          </w:pPr>
          <w:hyperlink w:anchor="_Toc65505163" w:history="1">
            <w:r w:rsidR="00EB173F" w:rsidRPr="001D4E1C">
              <w:rPr>
                <w:rStyle w:val="Hipercze"/>
                <w:rFonts w:ascii="Calibri" w:eastAsia="Times New Roman" w:hAnsi="Calibri" w:cs="Calibri"/>
                <w:b/>
                <w:bCs/>
                <w:noProof/>
                <w:kern w:val="32"/>
                <w:lang w:eastAsia="x-none"/>
              </w:rPr>
              <w:t xml:space="preserve">PROCES </w:t>
            </w:r>
            <w:r w:rsidR="00EB173F" w:rsidRPr="001D4E1C">
              <w:rPr>
                <w:rStyle w:val="Hipercze"/>
                <w:rFonts w:ascii="Calibri" w:eastAsia="Times New Roman" w:hAnsi="Calibri" w:cs="Calibri"/>
                <w:b/>
                <w:bCs/>
                <w:noProof/>
                <w:kern w:val="32"/>
                <w:lang w:val="x-none" w:eastAsia="x-none"/>
              </w:rPr>
              <w:t>1</w:t>
            </w:r>
            <w:r w:rsidR="00EB173F" w:rsidRPr="001D4E1C">
              <w:rPr>
                <w:rStyle w:val="Hipercze"/>
                <w:rFonts w:ascii="Calibri" w:eastAsia="Times New Roman" w:hAnsi="Calibri" w:cs="Calibri"/>
                <w:b/>
                <w:bCs/>
                <w:noProof/>
                <w:kern w:val="32"/>
                <w:lang w:eastAsia="x-none"/>
              </w:rPr>
              <w:t>C</w:t>
            </w:r>
            <w:r w:rsidR="00EB173F" w:rsidRPr="001D4E1C">
              <w:rPr>
                <w:rStyle w:val="Hipercze"/>
                <w:rFonts w:ascii="Calibri" w:eastAsia="Times New Roman" w:hAnsi="Calibri" w:cs="Calibri"/>
                <w:b/>
                <w:bCs/>
                <w:noProof/>
                <w:kern w:val="32"/>
                <w:lang w:val="x-none" w:eastAsia="x-none"/>
              </w:rPr>
              <w:t xml:space="preserve">: Identyfikacja obowiązków raportowych </w:t>
            </w:r>
            <w:r w:rsidR="00EB173F" w:rsidRPr="001D4E1C">
              <w:rPr>
                <w:rStyle w:val="Hipercze"/>
                <w:rFonts w:ascii="Calibri" w:eastAsia="Times New Roman" w:hAnsi="Calibri" w:cs="Calibri"/>
                <w:b/>
                <w:bCs/>
                <w:noProof/>
                <w:kern w:val="32"/>
                <w:lang w:eastAsia="x-none"/>
              </w:rPr>
              <w:t>Gminy</w:t>
            </w:r>
            <w:r w:rsidR="00EB173F" w:rsidRPr="001D4E1C">
              <w:rPr>
                <w:rStyle w:val="Hipercze"/>
                <w:rFonts w:ascii="Calibri" w:eastAsia="Times New Roman" w:hAnsi="Calibri" w:cs="Calibri"/>
                <w:b/>
                <w:bCs/>
                <w:noProof/>
                <w:kern w:val="32"/>
                <w:lang w:val="x-none" w:eastAsia="x-none"/>
              </w:rPr>
              <w:t xml:space="preserve"> - Korzystającego</w:t>
            </w:r>
            <w:r w:rsidR="00EB173F">
              <w:rPr>
                <w:noProof/>
                <w:webHidden/>
              </w:rPr>
              <w:tab/>
            </w:r>
            <w:r w:rsidR="00EB173F">
              <w:rPr>
                <w:noProof/>
                <w:webHidden/>
              </w:rPr>
              <w:fldChar w:fldCharType="begin"/>
            </w:r>
            <w:r w:rsidR="00EB173F">
              <w:rPr>
                <w:noProof/>
                <w:webHidden/>
              </w:rPr>
              <w:instrText xml:space="preserve"> PAGEREF _Toc65505163 \h </w:instrText>
            </w:r>
            <w:r w:rsidR="00EB173F">
              <w:rPr>
                <w:noProof/>
                <w:webHidden/>
              </w:rPr>
            </w:r>
            <w:r w:rsidR="00EB173F">
              <w:rPr>
                <w:noProof/>
                <w:webHidden/>
              </w:rPr>
              <w:fldChar w:fldCharType="separate"/>
            </w:r>
            <w:r w:rsidR="00743723">
              <w:rPr>
                <w:noProof/>
                <w:webHidden/>
              </w:rPr>
              <w:t>6</w:t>
            </w:r>
            <w:r w:rsidR="00EB173F">
              <w:rPr>
                <w:noProof/>
                <w:webHidden/>
              </w:rPr>
              <w:fldChar w:fldCharType="end"/>
            </w:r>
          </w:hyperlink>
        </w:p>
        <w:p w14:paraId="4A9BC21A" w14:textId="27A2B8D7" w:rsidR="00EB173F" w:rsidRDefault="00C320CB">
          <w:pPr>
            <w:pStyle w:val="Spistreci1"/>
            <w:tabs>
              <w:tab w:val="right" w:leader="dot" w:pos="10763"/>
            </w:tabs>
            <w:rPr>
              <w:rFonts w:eastAsiaTheme="minorEastAsia"/>
              <w:noProof/>
              <w:lang w:eastAsia="pl-PL"/>
            </w:rPr>
          </w:pPr>
          <w:hyperlink w:anchor="_Toc65505164" w:history="1">
            <w:r w:rsidR="00EB173F" w:rsidRPr="001D4E1C">
              <w:rPr>
                <w:rStyle w:val="Hipercze"/>
                <w:rFonts w:ascii="Calibri" w:eastAsia="Times New Roman" w:hAnsi="Calibri" w:cs="Calibri"/>
                <w:b/>
                <w:bCs/>
                <w:noProof/>
                <w:kern w:val="32"/>
                <w:lang w:eastAsia="x-none"/>
              </w:rPr>
              <w:t>PROCES</w:t>
            </w:r>
            <w:r w:rsidR="00EB173F" w:rsidRPr="001D4E1C">
              <w:rPr>
                <w:rStyle w:val="Hipercze"/>
                <w:rFonts w:ascii="Calibri" w:eastAsia="Times New Roman" w:hAnsi="Calibri" w:cs="Calibri"/>
                <w:b/>
                <w:bCs/>
                <w:noProof/>
                <w:kern w:val="32"/>
                <w:lang w:val="x-none" w:eastAsia="x-none"/>
              </w:rPr>
              <w:t xml:space="preserve"> 2</w:t>
            </w:r>
            <w:r w:rsidR="00EB173F" w:rsidRPr="001D4E1C">
              <w:rPr>
                <w:rStyle w:val="Hipercze"/>
                <w:rFonts w:ascii="Calibri" w:eastAsia="Times New Roman" w:hAnsi="Calibri" w:cs="Calibri"/>
                <w:b/>
                <w:bCs/>
                <w:noProof/>
                <w:kern w:val="32"/>
                <w:lang w:eastAsia="x-none"/>
              </w:rPr>
              <w:t>A</w:t>
            </w:r>
            <w:r w:rsidR="00EB173F" w:rsidRPr="001D4E1C">
              <w:rPr>
                <w:rStyle w:val="Hipercze"/>
                <w:rFonts w:ascii="Calibri" w:eastAsia="Times New Roman" w:hAnsi="Calibri" w:cs="Calibri"/>
                <w:b/>
                <w:bCs/>
                <w:noProof/>
                <w:kern w:val="32"/>
                <w:lang w:val="x-none" w:eastAsia="x-none"/>
              </w:rPr>
              <w:t xml:space="preserve">: Sposób postępowania w przypadku, gdy </w:t>
            </w:r>
            <w:r w:rsidR="00EB173F" w:rsidRPr="001D4E1C">
              <w:rPr>
                <w:rStyle w:val="Hipercze"/>
                <w:rFonts w:ascii="Calibri" w:eastAsia="Times New Roman" w:hAnsi="Calibri" w:cs="Calibri"/>
                <w:b/>
                <w:bCs/>
                <w:noProof/>
                <w:kern w:val="32"/>
                <w:lang w:eastAsia="x-none"/>
              </w:rPr>
              <w:t>Gmina</w:t>
            </w:r>
            <w:r w:rsidR="00EB173F" w:rsidRPr="001D4E1C">
              <w:rPr>
                <w:rStyle w:val="Hipercze"/>
                <w:rFonts w:ascii="Calibri" w:eastAsia="Times New Roman" w:hAnsi="Calibri" w:cs="Calibri"/>
                <w:b/>
                <w:bCs/>
                <w:noProof/>
                <w:kern w:val="32"/>
                <w:lang w:val="x-none" w:eastAsia="x-none"/>
              </w:rPr>
              <w:t xml:space="preserve"> występuje w roli </w:t>
            </w:r>
            <w:r w:rsidR="00EB173F" w:rsidRPr="001D4E1C">
              <w:rPr>
                <w:rStyle w:val="Hipercze"/>
                <w:rFonts w:ascii="Calibri" w:eastAsia="Times New Roman" w:hAnsi="Calibri" w:cs="Calibri"/>
                <w:b/>
                <w:bCs/>
                <w:noProof/>
                <w:kern w:val="32"/>
                <w:lang w:eastAsia="x-none"/>
              </w:rPr>
              <w:t>Promotora</w:t>
            </w:r>
            <w:r w:rsidR="00EB173F">
              <w:rPr>
                <w:noProof/>
                <w:webHidden/>
              </w:rPr>
              <w:tab/>
            </w:r>
            <w:r w:rsidR="00EB173F">
              <w:rPr>
                <w:noProof/>
                <w:webHidden/>
              </w:rPr>
              <w:fldChar w:fldCharType="begin"/>
            </w:r>
            <w:r w:rsidR="00EB173F">
              <w:rPr>
                <w:noProof/>
                <w:webHidden/>
              </w:rPr>
              <w:instrText xml:space="preserve"> PAGEREF _Toc65505164 \h </w:instrText>
            </w:r>
            <w:r w:rsidR="00EB173F">
              <w:rPr>
                <w:noProof/>
                <w:webHidden/>
              </w:rPr>
            </w:r>
            <w:r w:rsidR="00EB173F">
              <w:rPr>
                <w:noProof/>
                <w:webHidden/>
              </w:rPr>
              <w:fldChar w:fldCharType="separate"/>
            </w:r>
            <w:r w:rsidR="00743723">
              <w:rPr>
                <w:noProof/>
                <w:webHidden/>
              </w:rPr>
              <w:t>6</w:t>
            </w:r>
            <w:r w:rsidR="00EB173F">
              <w:rPr>
                <w:noProof/>
                <w:webHidden/>
              </w:rPr>
              <w:fldChar w:fldCharType="end"/>
            </w:r>
          </w:hyperlink>
        </w:p>
        <w:p w14:paraId="54722C9F" w14:textId="2FD6C6F2" w:rsidR="00EB173F" w:rsidRDefault="00C320CB">
          <w:pPr>
            <w:pStyle w:val="Spistreci1"/>
            <w:tabs>
              <w:tab w:val="right" w:leader="dot" w:pos="10763"/>
            </w:tabs>
            <w:rPr>
              <w:rFonts w:eastAsiaTheme="minorEastAsia"/>
              <w:noProof/>
              <w:lang w:eastAsia="pl-PL"/>
            </w:rPr>
          </w:pPr>
          <w:hyperlink w:anchor="_Toc65505165" w:history="1">
            <w:r w:rsidR="00EB173F" w:rsidRPr="001D4E1C">
              <w:rPr>
                <w:rStyle w:val="Hipercze"/>
                <w:rFonts w:ascii="Calibri" w:eastAsia="Times New Roman" w:hAnsi="Calibri" w:cs="Calibri"/>
                <w:b/>
                <w:bCs/>
                <w:noProof/>
                <w:kern w:val="32"/>
                <w:lang w:eastAsia="x-none"/>
              </w:rPr>
              <w:t>PROCES</w:t>
            </w:r>
            <w:r w:rsidR="00EB173F" w:rsidRPr="001D4E1C">
              <w:rPr>
                <w:rStyle w:val="Hipercze"/>
                <w:rFonts w:ascii="Calibri" w:eastAsia="Times New Roman" w:hAnsi="Calibri" w:cs="Calibri"/>
                <w:b/>
                <w:bCs/>
                <w:noProof/>
                <w:kern w:val="32"/>
                <w:lang w:val="x-none" w:eastAsia="x-none"/>
              </w:rPr>
              <w:t xml:space="preserve"> 2</w:t>
            </w:r>
            <w:r w:rsidR="00EB173F" w:rsidRPr="001D4E1C">
              <w:rPr>
                <w:rStyle w:val="Hipercze"/>
                <w:rFonts w:ascii="Calibri" w:eastAsia="Times New Roman" w:hAnsi="Calibri" w:cs="Calibri"/>
                <w:b/>
                <w:bCs/>
                <w:noProof/>
                <w:kern w:val="32"/>
                <w:lang w:eastAsia="x-none"/>
              </w:rPr>
              <w:t>B</w:t>
            </w:r>
            <w:r w:rsidR="00EB173F" w:rsidRPr="001D4E1C">
              <w:rPr>
                <w:rStyle w:val="Hipercze"/>
                <w:rFonts w:ascii="Calibri" w:eastAsia="Times New Roman" w:hAnsi="Calibri" w:cs="Calibri"/>
                <w:b/>
                <w:bCs/>
                <w:noProof/>
                <w:kern w:val="32"/>
                <w:lang w:val="x-none" w:eastAsia="x-none"/>
              </w:rPr>
              <w:t xml:space="preserve">: Sposób postępowania w przypadku, gdy </w:t>
            </w:r>
            <w:r w:rsidR="00EB173F" w:rsidRPr="001D4E1C">
              <w:rPr>
                <w:rStyle w:val="Hipercze"/>
                <w:rFonts w:ascii="Calibri" w:eastAsia="Times New Roman" w:hAnsi="Calibri" w:cs="Calibri"/>
                <w:b/>
                <w:bCs/>
                <w:noProof/>
                <w:kern w:val="32"/>
                <w:lang w:eastAsia="x-none"/>
              </w:rPr>
              <w:t>Gmina</w:t>
            </w:r>
            <w:r w:rsidR="00EB173F" w:rsidRPr="001D4E1C">
              <w:rPr>
                <w:rStyle w:val="Hipercze"/>
                <w:rFonts w:ascii="Calibri" w:eastAsia="Times New Roman" w:hAnsi="Calibri" w:cs="Calibri"/>
                <w:b/>
                <w:bCs/>
                <w:noProof/>
                <w:kern w:val="32"/>
                <w:lang w:val="x-none" w:eastAsia="x-none"/>
              </w:rPr>
              <w:t xml:space="preserve"> występuje w roli </w:t>
            </w:r>
            <w:r w:rsidR="00EB173F" w:rsidRPr="001D4E1C">
              <w:rPr>
                <w:rStyle w:val="Hipercze"/>
                <w:rFonts w:ascii="Calibri" w:eastAsia="Times New Roman" w:hAnsi="Calibri" w:cs="Calibri"/>
                <w:b/>
                <w:bCs/>
                <w:noProof/>
                <w:kern w:val="32"/>
                <w:lang w:eastAsia="x-none"/>
              </w:rPr>
              <w:t>Wspomagającego</w:t>
            </w:r>
            <w:r w:rsidR="00EB173F">
              <w:rPr>
                <w:noProof/>
                <w:webHidden/>
              </w:rPr>
              <w:tab/>
            </w:r>
            <w:r w:rsidR="00EB173F">
              <w:rPr>
                <w:noProof/>
                <w:webHidden/>
              </w:rPr>
              <w:fldChar w:fldCharType="begin"/>
            </w:r>
            <w:r w:rsidR="00EB173F">
              <w:rPr>
                <w:noProof/>
                <w:webHidden/>
              </w:rPr>
              <w:instrText xml:space="preserve"> PAGEREF _Toc65505165 \h </w:instrText>
            </w:r>
            <w:r w:rsidR="00EB173F">
              <w:rPr>
                <w:noProof/>
                <w:webHidden/>
              </w:rPr>
            </w:r>
            <w:r w:rsidR="00EB173F">
              <w:rPr>
                <w:noProof/>
                <w:webHidden/>
              </w:rPr>
              <w:fldChar w:fldCharType="separate"/>
            </w:r>
            <w:r w:rsidR="00743723">
              <w:rPr>
                <w:noProof/>
                <w:webHidden/>
              </w:rPr>
              <w:t>8</w:t>
            </w:r>
            <w:r w:rsidR="00EB173F">
              <w:rPr>
                <w:noProof/>
                <w:webHidden/>
              </w:rPr>
              <w:fldChar w:fldCharType="end"/>
            </w:r>
          </w:hyperlink>
        </w:p>
        <w:p w14:paraId="3B26BB6F" w14:textId="1F2A67C8" w:rsidR="00EB173F" w:rsidRDefault="00C320CB">
          <w:pPr>
            <w:pStyle w:val="Spistreci1"/>
            <w:tabs>
              <w:tab w:val="right" w:leader="dot" w:pos="10763"/>
            </w:tabs>
            <w:rPr>
              <w:rFonts w:eastAsiaTheme="minorEastAsia"/>
              <w:noProof/>
              <w:lang w:eastAsia="pl-PL"/>
            </w:rPr>
          </w:pPr>
          <w:hyperlink w:anchor="_Toc65505166" w:history="1">
            <w:r w:rsidR="00EB173F" w:rsidRPr="001D4E1C">
              <w:rPr>
                <w:rStyle w:val="Hipercze"/>
                <w:rFonts w:ascii="Calibri" w:eastAsia="Times New Roman" w:hAnsi="Calibri" w:cs="Calibri"/>
                <w:b/>
                <w:bCs/>
                <w:noProof/>
                <w:kern w:val="32"/>
                <w:lang w:eastAsia="x-none"/>
              </w:rPr>
              <w:t>PROCES</w:t>
            </w:r>
            <w:r w:rsidR="00EB173F" w:rsidRPr="001D4E1C">
              <w:rPr>
                <w:rStyle w:val="Hipercze"/>
                <w:rFonts w:ascii="Calibri" w:eastAsia="Times New Roman" w:hAnsi="Calibri" w:cs="Calibri"/>
                <w:b/>
                <w:bCs/>
                <w:noProof/>
                <w:kern w:val="32"/>
                <w:lang w:val="x-none" w:eastAsia="x-none"/>
              </w:rPr>
              <w:t xml:space="preserve"> 2</w:t>
            </w:r>
            <w:r w:rsidR="00EB173F" w:rsidRPr="001D4E1C">
              <w:rPr>
                <w:rStyle w:val="Hipercze"/>
                <w:rFonts w:ascii="Calibri" w:eastAsia="Times New Roman" w:hAnsi="Calibri" w:cs="Calibri"/>
                <w:b/>
                <w:bCs/>
                <w:noProof/>
                <w:kern w:val="32"/>
                <w:lang w:eastAsia="x-none"/>
              </w:rPr>
              <w:t>C</w:t>
            </w:r>
            <w:r w:rsidR="00EB173F" w:rsidRPr="001D4E1C">
              <w:rPr>
                <w:rStyle w:val="Hipercze"/>
                <w:rFonts w:ascii="Calibri" w:eastAsia="Times New Roman" w:hAnsi="Calibri" w:cs="Calibri"/>
                <w:b/>
                <w:bCs/>
                <w:noProof/>
                <w:kern w:val="32"/>
                <w:lang w:val="x-none" w:eastAsia="x-none"/>
              </w:rPr>
              <w:t xml:space="preserve">: Sposób postępowania w przypadku, gdy </w:t>
            </w:r>
            <w:r w:rsidR="00EB173F" w:rsidRPr="001D4E1C">
              <w:rPr>
                <w:rStyle w:val="Hipercze"/>
                <w:rFonts w:ascii="Calibri" w:eastAsia="Times New Roman" w:hAnsi="Calibri" w:cs="Calibri"/>
                <w:b/>
                <w:bCs/>
                <w:noProof/>
                <w:kern w:val="32"/>
                <w:lang w:eastAsia="x-none"/>
              </w:rPr>
              <w:t>Gmina</w:t>
            </w:r>
            <w:r w:rsidR="00EB173F" w:rsidRPr="001D4E1C">
              <w:rPr>
                <w:rStyle w:val="Hipercze"/>
                <w:rFonts w:ascii="Calibri" w:eastAsia="Times New Roman" w:hAnsi="Calibri" w:cs="Calibri"/>
                <w:b/>
                <w:bCs/>
                <w:noProof/>
                <w:kern w:val="32"/>
                <w:lang w:val="x-none" w:eastAsia="x-none"/>
              </w:rPr>
              <w:t xml:space="preserve"> występuje w roli Korzystającego</w:t>
            </w:r>
            <w:r w:rsidR="00EB173F">
              <w:rPr>
                <w:noProof/>
                <w:webHidden/>
              </w:rPr>
              <w:tab/>
            </w:r>
            <w:r w:rsidR="00EB173F">
              <w:rPr>
                <w:noProof/>
                <w:webHidden/>
              </w:rPr>
              <w:fldChar w:fldCharType="begin"/>
            </w:r>
            <w:r w:rsidR="00EB173F">
              <w:rPr>
                <w:noProof/>
                <w:webHidden/>
              </w:rPr>
              <w:instrText xml:space="preserve"> PAGEREF _Toc65505166 \h </w:instrText>
            </w:r>
            <w:r w:rsidR="00EB173F">
              <w:rPr>
                <w:noProof/>
                <w:webHidden/>
              </w:rPr>
            </w:r>
            <w:r w:rsidR="00EB173F">
              <w:rPr>
                <w:noProof/>
                <w:webHidden/>
              </w:rPr>
              <w:fldChar w:fldCharType="separate"/>
            </w:r>
            <w:r w:rsidR="00743723">
              <w:rPr>
                <w:noProof/>
                <w:webHidden/>
              </w:rPr>
              <w:t>9</w:t>
            </w:r>
            <w:r w:rsidR="00EB173F">
              <w:rPr>
                <w:noProof/>
                <w:webHidden/>
              </w:rPr>
              <w:fldChar w:fldCharType="end"/>
            </w:r>
          </w:hyperlink>
        </w:p>
        <w:p w14:paraId="57F16BD6" w14:textId="6F1F9D22" w:rsidR="00EB173F" w:rsidRDefault="00C320CB">
          <w:pPr>
            <w:pStyle w:val="Spistreci1"/>
            <w:tabs>
              <w:tab w:val="right" w:leader="dot" w:pos="10763"/>
            </w:tabs>
            <w:rPr>
              <w:rFonts w:eastAsiaTheme="minorEastAsia"/>
              <w:noProof/>
              <w:lang w:eastAsia="pl-PL"/>
            </w:rPr>
          </w:pPr>
          <w:hyperlink w:anchor="_Toc65505167" w:history="1">
            <w:r w:rsidR="00EB173F" w:rsidRPr="001D4E1C">
              <w:rPr>
                <w:rStyle w:val="Hipercze"/>
                <w:rFonts w:cstheme="minorHAnsi"/>
                <w:b/>
                <w:noProof/>
              </w:rPr>
              <w:t>PROCES 3: Postępowanie w przypadku zbiegu ról Gminy w procesie raportowania</w:t>
            </w:r>
            <w:r w:rsidR="00EB173F">
              <w:rPr>
                <w:noProof/>
                <w:webHidden/>
              </w:rPr>
              <w:tab/>
            </w:r>
            <w:r w:rsidR="00EB173F">
              <w:rPr>
                <w:noProof/>
                <w:webHidden/>
              </w:rPr>
              <w:fldChar w:fldCharType="begin"/>
            </w:r>
            <w:r w:rsidR="00EB173F">
              <w:rPr>
                <w:noProof/>
                <w:webHidden/>
              </w:rPr>
              <w:instrText xml:space="preserve"> PAGEREF _Toc65505167 \h </w:instrText>
            </w:r>
            <w:r w:rsidR="00EB173F">
              <w:rPr>
                <w:noProof/>
                <w:webHidden/>
              </w:rPr>
            </w:r>
            <w:r w:rsidR="00EB173F">
              <w:rPr>
                <w:noProof/>
                <w:webHidden/>
              </w:rPr>
              <w:fldChar w:fldCharType="separate"/>
            </w:r>
            <w:r w:rsidR="00743723">
              <w:rPr>
                <w:noProof/>
                <w:webHidden/>
              </w:rPr>
              <w:t>10</w:t>
            </w:r>
            <w:r w:rsidR="00EB173F">
              <w:rPr>
                <w:noProof/>
                <w:webHidden/>
              </w:rPr>
              <w:fldChar w:fldCharType="end"/>
            </w:r>
          </w:hyperlink>
        </w:p>
        <w:p w14:paraId="63C2DAC4" w14:textId="56C15BC8" w:rsidR="00EB173F" w:rsidRDefault="00C320CB">
          <w:pPr>
            <w:pStyle w:val="Spistreci1"/>
            <w:tabs>
              <w:tab w:val="right" w:leader="dot" w:pos="10763"/>
            </w:tabs>
            <w:rPr>
              <w:rFonts w:eastAsiaTheme="minorEastAsia"/>
              <w:noProof/>
              <w:lang w:eastAsia="pl-PL"/>
            </w:rPr>
          </w:pPr>
          <w:hyperlink w:anchor="_Toc65505168" w:history="1">
            <w:r w:rsidR="00EB173F" w:rsidRPr="001D4E1C">
              <w:rPr>
                <w:rStyle w:val="Hipercze"/>
                <w:rFonts w:ascii="Calibri" w:eastAsia="Times New Roman" w:hAnsi="Calibri" w:cs="Calibri"/>
                <w:b/>
                <w:bCs/>
                <w:noProof/>
                <w:kern w:val="32"/>
                <w:lang w:eastAsia="x-none"/>
              </w:rPr>
              <w:t xml:space="preserve">PROCES 4: </w:t>
            </w:r>
            <w:r w:rsidR="00EB173F" w:rsidRPr="001D4E1C">
              <w:rPr>
                <w:rStyle w:val="Hipercze"/>
                <w:rFonts w:ascii="Calibri" w:eastAsia="Times New Roman" w:hAnsi="Calibri" w:cs="Calibri"/>
                <w:b/>
                <w:bCs/>
                <w:noProof/>
                <w:kern w:val="32"/>
                <w:lang w:val="x-none" w:eastAsia="x-none"/>
              </w:rPr>
              <w:t>Zasady przechowywania dokumentów oraz informacji</w:t>
            </w:r>
            <w:r w:rsidR="00EB173F">
              <w:rPr>
                <w:noProof/>
                <w:webHidden/>
              </w:rPr>
              <w:tab/>
            </w:r>
            <w:r w:rsidR="00EB173F">
              <w:rPr>
                <w:noProof/>
                <w:webHidden/>
              </w:rPr>
              <w:fldChar w:fldCharType="begin"/>
            </w:r>
            <w:r w:rsidR="00EB173F">
              <w:rPr>
                <w:noProof/>
                <w:webHidden/>
              </w:rPr>
              <w:instrText xml:space="preserve"> PAGEREF _Toc65505168 \h </w:instrText>
            </w:r>
            <w:r w:rsidR="00EB173F">
              <w:rPr>
                <w:noProof/>
                <w:webHidden/>
              </w:rPr>
            </w:r>
            <w:r w:rsidR="00EB173F">
              <w:rPr>
                <w:noProof/>
                <w:webHidden/>
              </w:rPr>
              <w:fldChar w:fldCharType="separate"/>
            </w:r>
            <w:r w:rsidR="00743723">
              <w:rPr>
                <w:noProof/>
                <w:webHidden/>
              </w:rPr>
              <w:t>10</w:t>
            </w:r>
            <w:r w:rsidR="00EB173F">
              <w:rPr>
                <w:noProof/>
                <w:webHidden/>
              </w:rPr>
              <w:fldChar w:fldCharType="end"/>
            </w:r>
          </w:hyperlink>
        </w:p>
        <w:p w14:paraId="454F6BDE" w14:textId="1A211C8F" w:rsidR="00EB173F" w:rsidRDefault="00C320CB">
          <w:pPr>
            <w:pStyle w:val="Spistreci1"/>
            <w:tabs>
              <w:tab w:val="right" w:leader="dot" w:pos="10763"/>
            </w:tabs>
            <w:rPr>
              <w:rFonts w:eastAsiaTheme="minorEastAsia"/>
              <w:noProof/>
              <w:lang w:eastAsia="pl-PL"/>
            </w:rPr>
          </w:pPr>
          <w:hyperlink w:anchor="_Toc65505169" w:history="1">
            <w:r w:rsidR="00EB173F" w:rsidRPr="001D4E1C">
              <w:rPr>
                <w:rStyle w:val="Hipercze"/>
                <w:rFonts w:ascii="Calibri" w:eastAsia="Times New Roman" w:hAnsi="Calibri" w:cs="Calibri"/>
                <w:b/>
                <w:bCs/>
                <w:noProof/>
                <w:kern w:val="32"/>
                <w:lang w:eastAsia="x-none"/>
              </w:rPr>
              <w:t xml:space="preserve">PROCES 5: </w:t>
            </w:r>
            <w:r w:rsidR="00EB173F" w:rsidRPr="001D4E1C">
              <w:rPr>
                <w:rStyle w:val="Hipercze"/>
                <w:rFonts w:ascii="Calibri" w:eastAsia="Times New Roman" w:hAnsi="Calibri" w:cs="Calibri"/>
                <w:b/>
                <w:bCs/>
                <w:noProof/>
                <w:kern w:val="32"/>
                <w:lang w:val="x-none" w:eastAsia="x-none"/>
              </w:rPr>
              <w:t>Kontrola przestrzegania przepisów Ordynacji podatkowej i Procedury</w:t>
            </w:r>
            <w:r w:rsidR="00EB173F">
              <w:rPr>
                <w:noProof/>
                <w:webHidden/>
              </w:rPr>
              <w:tab/>
            </w:r>
            <w:r w:rsidR="00EB173F">
              <w:rPr>
                <w:noProof/>
                <w:webHidden/>
              </w:rPr>
              <w:fldChar w:fldCharType="begin"/>
            </w:r>
            <w:r w:rsidR="00EB173F">
              <w:rPr>
                <w:noProof/>
                <w:webHidden/>
              </w:rPr>
              <w:instrText xml:space="preserve"> PAGEREF _Toc65505169 \h </w:instrText>
            </w:r>
            <w:r w:rsidR="00EB173F">
              <w:rPr>
                <w:noProof/>
                <w:webHidden/>
              </w:rPr>
            </w:r>
            <w:r w:rsidR="00EB173F">
              <w:rPr>
                <w:noProof/>
                <w:webHidden/>
              </w:rPr>
              <w:fldChar w:fldCharType="separate"/>
            </w:r>
            <w:r w:rsidR="00743723">
              <w:rPr>
                <w:noProof/>
                <w:webHidden/>
              </w:rPr>
              <w:t>11</w:t>
            </w:r>
            <w:r w:rsidR="00EB173F">
              <w:rPr>
                <w:noProof/>
                <w:webHidden/>
              </w:rPr>
              <w:fldChar w:fldCharType="end"/>
            </w:r>
          </w:hyperlink>
        </w:p>
        <w:p w14:paraId="12E9F540" w14:textId="621F743E" w:rsidR="00EB173F" w:rsidRDefault="00C320CB">
          <w:pPr>
            <w:pStyle w:val="Spistreci1"/>
            <w:tabs>
              <w:tab w:val="right" w:leader="dot" w:pos="10763"/>
            </w:tabs>
            <w:rPr>
              <w:rFonts w:eastAsiaTheme="minorEastAsia"/>
              <w:noProof/>
              <w:lang w:eastAsia="pl-PL"/>
            </w:rPr>
          </w:pPr>
          <w:hyperlink w:anchor="_Toc65505170" w:history="1">
            <w:r w:rsidR="00EB173F" w:rsidRPr="001D4E1C">
              <w:rPr>
                <w:rStyle w:val="Hipercze"/>
                <w:rFonts w:ascii="Calibri" w:eastAsia="Times New Roman" w:hAnsi="Calibri" w:cs="Calibri"/>
                <w:b/>
                <w:bCs/>
                <w:noProof/>
                <w:kern w:val="32"/>
                <w:lang w:eastAsia="x-none"/>
              </w:rPr>
              <w:t xml:space="preserve">PROCES 6: </w:t>
            </w:r>
            <w:r w:rsidR="00EB173F" w:rsidRPr="001D4E1C">
              <w:rPr>
                <w:rStyle w:val="Hipercze"/>
                <w:rFonts w:ascii="Calibri" w:eastAsia="Times New Roman" w:hAnsi="Calibri" w:cs="Calibri"/>
                <w:b/>
                <w:bCs/>
                <w:noProof/>
                <w:kern w:val="32"/>
                <w:lang w:val="x-none" w:eastAsia="x-none"/>
              </w:rPr>
              <w:t xml:space="preserve">Upowszechnianie wiedzy z zakresu raportowania Schematów Podatkowych wśród pracowników </w:t>
            </w:r>
            <w:r w:rsidR="00EB173F" w:rsidRPr="001D4E1C">
              <w:rPr>
                <w:rStyle w:val="Hipercze"/>
                <w:rFonts w:ascii="Calibri" w:eastAsia="Times New Roman" w:hAnsi="Calibri" w:cs="Calibri"/>
                <w:b/>
                <w:bCs/>
                <w:noProof/>
                <w:kern w:val="32"/>
                <w:lang w:eastAsia="x-none"/>
              </w:rPr>
              <w:t>Gminy</w:t>
            </w:r>
            <w:r w:rsidR="00EB173F">
              <w:rPr>
                <w:noProof/>
                <w:webHidden/>
              </w:rPr>
              <w:tab/>
            </w:r>
            <w:r w:rsidR="00EB173F">
              <w:rPr>
                <w:noProof/>
                <w:webHidden/>
              </w:rPr>
              <w:fldChar w:fldCharType="begin"/>
            </w:r>
            <w:r w:rsidR="00EB173F">
              <w:rPr>
                <w:noProof/>
                <w:webHidden/>
              </w:rPr>
              <w:instrText xml:space="preserve"> PAGEREF _Toc65505170 \h </w:instrText>
            </w:r>
            <w:r w:rsidR="00EB173F">
              <w:rPr>
                <w:noProof/>
                <w:webHidden/>
              </w:rPr>
            </w:r>
            <w:r w:rsidR="00EB173F">
              <w:rPr>
                <w:noProof/>
                <w:webHidden/>
              </w:rPr>
              <w:fldChar w:fldCharType="separate"/>
            </w:r>
            <w:r w:rsidR="00743723">
              <w:rPr>
                <w:noProof/>
                <w:webHidden/>
              </w:rPr>
              <w:t>11</w:t>
            </w:r>
            <w:r w:rsidR="00EB173F">
              <w:rPr>
                <w:noProof/>
                <w:webHidden/>
              </w:rPr>
              <w:fldChar w:fldCharType="end"/>
            </w:r>
          </w:hyperlink>
        </w:p>
        <w:p w14:paraId="3472444F" w14:textId="0AD12098" w:rsidR="00EB173F" w:rsidRDefault="00C320CB">
          <w:pPr>
            <w:pStyle w:val="Spistreci1"/>
            <w:tabs>
              <w:tab w:val="right" w:leader="dot" w:pos="10763"/>
            </w:tabs>
            <w:rPr>
              <w:rFonts w:eastAsiaTheme="minorEastAsia"/>
              <w:noProof/>
              <w:lang w:eastAsia="pl-PL"/>
            </w:rPr>
          </w:pPr>
          <w:hyperlink w:anchor="_Toc65505171" w:history="1">
            <w:r w:rsidR="00EB173F" w:rsidRPr="001D4E1C">
              <w:rPr>
                <w:rStyle w:val="Hipercze"/>
                <w:rFonts w:ascii="Calibri" w:eastAsia="Times New Roman" w:hAnsi="Calibri" w:cs="Calibri"/>
                <w:b/>
                <w:bCs/>
                <w:noProof/>
                <w:kern w:val="32"/>
                <w:lang w:val="x-none" w:eastAsia="x-none"/>
              </w:rPr>
              <w:t>ZAŁĄCZNIKI</w:t>
            </w:r>
            <w:r w:rsidR="00EB173F">
              <w:rPr>
                <w:noProof/>
                <w:webHidden/>
              </w:rPr>
              <w:tab/>
            </w:r>
            <w:r w:rsidR="00EB173F">
              <w:rPr>
                <w:noProof/>
                <w:webHidden/>
              </w:rPr>
              <w:fldChar w:fldCharType="begin"/>
            </w:r>
            <w:r w:rsidR="00EB173F">
              <w:rPr>
                <w:noProof/>
                <w:webHidden/>
              </w:rPr>
              <w:instrText xml:space="preserve"> PAGEREF _Toc65505171 \h </w:instrText>
            </w:r>
            <w:r w:rsidR="00EB173F">
              <w:rPr>
                <w:noProof/>
                <w:webHidden/>
              </w:rPr>
            </w:r>
            <w:r w:rsidR="00EB173F">
              <w:rPr>
                <w:noProof/>
                <w:webHidden/>
              </w:rPr>
              <w:fldChar w:fldCharType="separate"/>
            </w:r>
            <w:r w:rsidR="00743723">
              <w:rPr>
                <w:noProof/>
                <w:webHidden/>
              </w:rPr>
              <w:t>11</w:t>
            </w:r>
            <w:r w:rsidR="00EB173F">
              <w:rPr>
                <w:noProof/>
                <w:webHidden/>
              </w:rPr>
              <w:fldChar w:fldCharType="end"/>
            </w:r>
          </w:hyperlink>
        </w:p>
        <w:p w14:paraId="1EB35D0C" w14:textId="7D29F9A5" w:rsidR="00EB173F" w:rsidRDefault="00C320CB">
          <w:pPr>
            <w:pStyle w:val="Spistreci2"/>
            <w:tabs>
              <w:tab w:val="right" w:leader="dot" w:pos="10763"/>
            </w:tabs>
            <w:rPr>
              <w:rFonts w:eastAsiaTheme="minorEastAsia"/>
              <w:noProof/>
              <w:lang w:eastAsia="pl-PL"/>
            </w:rPr>
          </w:pPr>
          <w:hyperlink w:anchor="_Toc65505172" w:history="1">
            <w:r w:rsidR="00EB173F" w:rsidRPr="001D4E1C">
              <w:rPr>
                <w:rStyle w:val="Hipercze"/>
                <w:rFonts w:ascii="Calibri" w:eastAsia="Times New Roman" w:hAnsi="Calibri" w:cs="Calibri"/>
                <w:noProof/>
              </w:rPr>
              <w:t>Załącznik nr 1: Definicje</w:t>
            </w:r>
            <w:r w:rsidR="00EB173F">
              <w:rPr>
                <w:noProof/>
                <w:webHidden/>
              </w:rPr>
              <w:tab/>
            </w:r>
            <w:r w:rsidR="00EB173F">
              <w:rPr>
                <w:noProof/>
                <w:webHidden/>
              </w:rPr>
              <w:fldChar w:fldCharType="begin"/>
            </w:r>
            <w:r w:rsidR="00EB173F">
              <w:rPr>
                <w:noProof/>
                <w:webHidden/>
              </w:rPr>
              <w:instrText xml:space="preserve"> PAGEREF _Toc65505172 \h </w:instrText>
            </w:r>
            <w:r w:rsidR="00EB173F">
              <w:rPr>
                <w:noProof/>
                <w:webHidden/>
              </w:rPr>
            </w:r>
            <w:r w:rsidR="00EB173F">
              <w:rPr>
                <w:noProof/>
                <w:webHidden/>
              </w:rPr>
              <w:fldChar w:fldCharType="separate"/>
            </w:r>
            <w:r w:rsidR="00743723">
              <w:rPr>
                <w:noProof/>
                <w:webHidden/>
              </w:rPr>
              <w:t>11</w:t>
            </w:r>
            <w:r w:rsidR="00EB173F">
              <w:rPr>
                <w:noProof/>
                <w:webHidden/>
              </w:rPr>
              <w:fldChar w:fldCharType="end"/>
            </w:r>
          </w:hyperlink>
        </w:p>
        <w:p w14:paraId="620560BC" w14:textId="1994428E" w:rsidR="00EB173F" w:rsidRDefault="00C320CB">
          <w:pPr>
            <w:pStyle w:val="Spistreci2"/>
            <w:tabs>
              <w:tab w:val="right" w:leader="dot" w:pos="10763"/>
            </w:tabs>
            <w:rPr>
              <w:rFonts w:eastAsiaTheme="minorEastAsia"/>
              <w:noProof/>
              <w:lang w:eastAsia="pl-PL"/>
            </w:rPr>
          </w:pPr>
          <w:hyperlink w:anchor="_Toc65505173" w:history="1">
            <w:r w:rsidR="00EB173F" w:rsidRPr="001D4E1C">
              <w:rPr>
                <w:rStyle w:val="Hipercze"/>
                <w:rFonts w:eastAsia="Times New Roman" w:cstheme="minorHAnsi"/>
                <w:noProof/>
              </w:rPr>
              <w:t>Załącznik nr 2: Obowiązki raportowe i formularze</w:t>
            </w:r>
            <w:r w:rsidR="00EB173F">
              <w:rPr>
                <w:noProof/>
                <w:webHidden/>
              </w:rPr>
              <w:tab/>
            </w:r>
            <w:r w:rsidR="00EB173F">
              <w:rPr>
                <w:noProof/>
                <w:webHidden/>
              </w:rPr>
              <w:fldChar w:fldCharType="begin"/>
            </w:r>
            <w:r w:rsidR="00EB173F">
              <w:rPr>
                <w:noProof/>
                <w:webHidden/>
              </w:rPr>
              <w:instrText xml:space="preserve"> PAGEREF _Toc65505173 \h </w:instrText>
            </w:r>
            <w:r w:rsidR="00EB173F">
              <w:rPr>
                <w:noProof/>
                <w:webHidden/>
              </w:rPr>
            </w:r>
            <w:r w:rsidR="00EB173F">
              <w:rPr>
                <w:noProof/>
                <w:webHidden/>
              </w:rPr>
              <w:fldChar w:fldCharType="separate"/>
            </w:r>
            <w:r w:rsidR="00743723">
              <w:rPr>
                <w:noProof/>
                <w:webHidden/>
              </w:rPr>
              <w:t>14</w:t>
            </w:r>
            <w:r w:rsidR="00EB173F">
              <w:rPr>
                <w:noProof/>
                <w:webHidden/>
              </w:rPr>
              <w:fldChar w:fldCharType="end"/>
            </w:r>
          </w:hyperlink>
        </w:p>
        <w:p w14:paraId="035D022A" w14:textId="4C3AFC6C" w:rsidR="00EB173F" w:rsidRDefault="00C320CB">
          <w:pPr>
            <w:pStyle w:val="Spistreci2"/>
            <w:tabs>
              <w:tab w:val="right" w:leader="dot" w:pos="10763"/>
            </w:tabs>
            <w:rPr>
              <w:rFonts w:eastAsiaTheme="minorEastAsia"/>
              <w:noProof/>
              <w:lang w:eastAsia="pl-PL"/>
            </w:rPr>
          </w:pPr>
          <w:hyperlink w:anchor="_Toc65505174" w:history="1">
            <w:r w:rsidR="00EB173F" w:rsidRPr="001D4E1C">
              <w:rPr>
                <w:rStyle w:val="Hipercze"/>
                <w:rFonts w:eastAsia="Times New Roman" w:cstheme="minorHAnsi"/>
                <w:noProof/>
              </w:rPr>
              <w:t>Załącznik nr 3: Zakres informacji uzyskiwany przez Koordynatora MDR</w:t>
            </w:r>
            <w:r w:rsidR="00EB173F">
              <w:rPr>
                <w:noProof/>
                <w:webHidden/>
              </w:rPr>
              <w:tab/>
            </w:r>
            <w:r w:rsidR="00EB173F">
              <w:rPr>
                <w:noProof/>
                <w:webHidden/>
              </w:rPr>
              <w:fldChar w:fldCharType="begin"/>
            </w:r>
            <w:r w:rsidR="00EB173F">
              <w:rPr>
                <w:noProof/>
                <w:webHidden/>
              </w:rPr>
              <w:instrText xml:space="preserve"> PAGEREF _Toc65505174 \h </w:instrText>
            </w:r>
            <w:r w:rsidR="00EB173F">
              <w:rPr>
                <w:noProof/>
                <w:webHidden/>
              </w:rPr>
            </w:r>
            <w:r w:rsidR="00EB173F">
              <w:rPr>
                <w:noProof/>
                <w:webHidden/>
              </w:rPr>
              <w:fldChar w:fldCharType="separate"/>
            </w:r>
            <w:r w:rsidR="00743723">
              <w:rPr>
                <w:noProof/>
                <w:webHidden/>
              </w:rPr>
              <w:t>16</w:t>
            </w:r>
            <w:r w:rsidR="00EB173F">
              <w:rPr>
                <w:noProof/>
                <w:webHidden/>
              </w:rPr>
              <w:fldChar w:fldCharType="end"/>
            </w:r>
          </w:hyperlink>
        </w:p>
        <w:p w14:paraId="2228AE05" w14:textId="2C7380EA" w:rsidR="00EB173F" w:rsidRDefault="00C320CB">
          <w:pPr>
            <w:pStyle w:val="Spistreci2"/>
            <w:tabs>
              <w:tab w:val="right" w:leader="dot" w:pos="10763"/>
            </w:tabs>
            <w:rPr>
              <w:rFonts w:eastAsiaTheme="minorEastAsia"/>
              <w:noProof/>
              <w:lang w:eastAsia="pl-PL"/>
            </w:rPr>
          </w:pPr>
          <w:hyperlink w:anchor="_Toc65505175" w:history="1">
            <w:r w:rsidR="00EB173F" w:rsidRPr="001D4E1C">
              <w:rPr>
                <w:rStyle w:val="Hipercze"/>
                <w:rFonts w:eastAsia="Times New Roman" w:cstheme="minorHAnsi"/>
                <w:noProof/>
              </w:rPr>
              <w:t>Załącznik nr 4: Czynności niepodlegające raportowaniu</w:t>
            </w:r>
            <w:r w:rsidR="00EB173F">
              <w:rPr>
                <w:noProof/>
                <w:webHidden/>
              </w:rPr>
              <w:tab/>
            </w:r>
            <w:r w:rsidR="00EB173F">
              <w:rPr>
                <w:noProof/>
                <w:webHidden/>
              </w:rPr>
              <w:fldChar w:fldCharType="begin"/>
            </w:r>
            <w:r w:rsidR="00EB173F">
              <w:rPr>
                <w:noProof/>
                <w:webHidden/>
              </w:rPr>
              <w:instrText xml:space="preserve"> PAGEREF _Toc65505175 \h </w:instrText>
            </w:r>
            <w:r w:rsidR="00EB173F">
              <w:rPr>
                <w:noProof/>
                <w:webHidden/>
              </w:rPr>
            </w:r>
            <w:r w:rsidR="00EB173F">
              <w:rPr>
                <w:noProof/>
                <w:webHidden/>
              </w:rPr>
              <w:fldChar w:fldCharType="separate"/>
            </w:r>
            <w:r w:rsidR="00743723">
              <w:rPr>
                <w:noProof/>
                <w:webHidden/>
              </w:rPr>
              <w:t>17</w:t>
            </w:r>
            <w:r w:rsidR="00EB173F">
              <w:rPr>
                <w:noProof/>
                <w:webHidden/>
              </w:rPr>
              <w:fldChar w:fldCharType="end"/>
            </w:r>
          </w:hyperlink>
        </w:p>
        <w:p w14:paraId="0DA8C877" w14:textId="42DA4B84" w:rsidR="00EB173F" w:rsidRDefault="00C320CB">
          <w:pPr>
            <w:pStyle w:val="Spistreci2"/>
            <w:tabs>
              <w:tab w:val="right" w:leader="dot" w:pos="10763"/>
            </w:tabs>
            <w:rPr>
              <w:rFonts w:eastAsiaTheme="minorEastAsia"/>
              <w:noProof/>
              <w:lang w:eastAsia="pl-PL"/>
            </w:rPr>
          </w:pPr>
          <w:hyperlink w:anchor="_Toc65505176" w:history="1">
            <w:r w:rsidR="00EB173F" w:rsidRPr="001D4E1C">
              <w:rPr>
                <w:rStyle w:val="Hipercze"/>
                <w:rFonts w:eastAsia="Times New Roman" w:cstheme="minorHAnsi"/>
                <w:noProof/>
              </w:rPr>
              <w:t>Załącznik nr 5: Czynności potencjalnie podlegające raportowaniu</w:t>
            </w:r>
            <w:r w:rsidR="00EB173F">
              <w:rPr>
                <w:noProof/>
                <w:webHidden/>
              </w:rPr>
              <w:tab/>
            </w:r>
            <w:r w:rsidR="00EB173F">
              <w:rPr>
                <w:noProof/>
                <w:webHidden/>
              </w:rPr>
              <w:fldChar w:fldCharType="begin"/>
            </w:r>
            <w:r w:rsidR="00EB173F">
              <w:rPr>
                <w:noProof/>
                <w:webHidden/>
              </w:rPr>
              <w:instrText xml:space="preserve"> PAGEREF _Toc65505176 \h </w:instrText>
            </w:r>
            <w:r w:rsidR="00EB173F">
              <w:rPr>
                <w:noProof/>
                <w:webHidden/>
              </w:rPr>
            </w:r>
            <w:r w:rsidR="00EB173F">
              <w:rPr>
                <w:noProof/>
                <w:webHidden/>
              </w:rPr>
              <w:fldChar w:fldCharType="separate"/>
            </w:r>
            <w:r w:rsidR="00743723">
              <w:rPr>
                <w:noProof/>
                <w:webHidden/>
              </w:rPr>
              <w:t>19</w:t>
            </w:r>
            <w:r w:rsidR="00EB173F">
              <w:rPr>
                <w:noProof/>
                <w:webHidden/>
              </w:rPr>
              <w:fldChar w:fldCharType="end"/>
            </w:r>
          </w:hyperlink>
        </w:p>
        <w:p w14:paraId="1F1F3E1F" w14:textId="686ACC08" w:rsidR="00EB173F" w:rsidRDefault="00C320CB">
          <w:pPr>
            <w:pStyle w:val="Spistreci2"/>
            <w:tabs>
              <w:tab w:val="right" w:leader="dot" w:pos="10763"/>
            </w:tabs>
            <w:rPr>
              <w:rFonts w:eastAsiaTheme="minorEastAsia"/>
              <w:noProof/>
              <w:lang w:eastAsia="pl-PL"/>
            </w:rPr>
          </w:pPr>
          <w:hyperlink w:anchor="_Toc65505177" w:history="1">
            <w:r w:rsidR="00EB173F" w:rsidRPr="001D4E1C">
              <w:rPr>
                <w:rStyle w:val="Hipercze"/>
                <w:rFonts w:cstheme="minorHAnsi"/>
                <w:noProof/>
              </w:rPr>
              <w:t>Załącznik nr 6: Procedura oceny czy uzgodnienie podlega obowiązkowi raportowania na podstawie przepisów MDR</w:t>
            </w:r>
            <w:r w:rsidR="00EB173F">
              <w:rPr>
                <w:noProof/>
                <w:webHidden/>
              </w:rPr>
              <w:tab/>
            </w:r>
            <w:r w:rsidR="00EB173F">
              <w:rPr>
                <w:noProof/>
                <w:webHidden/>
              </w:rPr>
              <w:fldChar w:fldCharType="begin"/>
            </w:r>
            <w:r w:rsidR="00EB173F">
              <w:rPr>
                <w:noProof/>
                <w:webHidden/>
              </w:rPr>
              <w:instrText xml:space="preserve"> PAGEREF _Toc65505177 \h </w:instrText>
            </w:r>
            <w:r w:rsidR="00EB173F">
              <w:rPr>
                <w:noProof/>
                <w:webHidden/>
              </w:rPr>
            </w:r>
            <w:r w:rsidR="00EB173F">
              <w:rPr>
                <w:noProof/>
                <w:webHidden/>
              </w:rPr>
              <w:fldChar w:fldCharType="separate"/>
            </w:r>
            <w:r w:rsidR="00743723">
              <w:rPr>
                <w:noProof/>
                <w:webHidden/>
              </w:rPr>
              <w:t>21</w:t>
            </w:r>
            <w:r w:rsidR="00EB173F">
              <w:rPr>
                <w:noProof/>
                <w:webHidden/>
              </w:rPr>
              <w:fldChar w:fldCharType="end"/>
            </w:r>
          </w:hyperlink>
        </w:p>
        <w:p w14:paraId="1F980F04" w14:textId="3493493F" w:rsidR="006A2A46" w:rsidRPr="006A2A46" w:rsidRDefault="006A2A46" w:rsidP="006A2A46">
          <w:pPr>
            <w:spacing w:after="200" w:line="276" w:lineRule="auto"/>
            <w:rPr>
              <w:rFonts w:ascii="Calibri" w:eastAsia="Times New Roman" w:hAnsi="Calibri" w:cs="Calibri"/>
              <w:lang w:eastAsia="pl-PL"/>
            </w:rPr>
          </w:pPr>
          <w:r w:rsidRPr="006A2A46">
            <w:rPr>
              <w:rFonts w:ascii="Calibri" w:eastAsia="Times New Roman" w:hAnsi="Calibri" w:cs="Calibri"/>
              <w:b/>
              <w:bCs/>
              <w:noProof/>
              <w:highlight w:val="yellow"/>
              <w:lang w:eastAsia="pl-PL"/>
            </w:rPr>
            <w:fldChar w:fldCharType="end"/>
          </w:r>
        </w:p>
      </w:sdtContent>
    </w:sdt>
    <w:p w14:paraId="2784BF55"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2AACE02B"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4520A59E"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107E69A1"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5CA7070D"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0EC65518"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69BB2540"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4B90F68B"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134F1AB9"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5CC0F815" w14:textId="77777777" w:rsidR="0042643D" w:rsidRDefault="0042643D" w:rsidP="0042643D">
      <w:pPr>
        <w:pStyle w:val="Tekstpodstawowy"/>
        <w:spacing w:after="0"/>
        <w:jc w:val="both"/>
        <w:rPr>
          <w:rFonts w:asciiTheme="minorHAnsi" w:eastAsiaTheme="majorEastAsia" w:hAnsiTheme="minorHAnsi" w:cstheme="minorHAnsi"/>
          <w:sz w:val="32"/>
          <w:szCs w:val="32"/>
          <w:lang w:eastAsia="en-US"/>
        </w:rPr>
      </w:pPr>
    </w:p>
    <w:p w14:paraId="2479D037" w14:textId="58D2AF59" w:rsidR="0042643D" w:rsidRPr="0042643D" w:rsidRDefault="0042643D" w:rsidP="0042643D">
      <w:pPr>
        <w:spacing w:after="0"/>
        <w:rPr>
          <w:rFonts w:cstheme="minorHAnsi"/>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59"/>
        <w:gridCol w:w="20"/>
        <w:gridCol w:w="29"/>
        <w:gridCol w:w="1845"/>
        <w:gridCol w:w="6662"/>
      </w:tblGrid>
      <w:tr w:rsidR="00C26B1E" w14:paraId="4FBFB6A8" w14:textId="77777777" w:rsidTr="00C9005D">
        <w:trPr>
          <w:trHeight w:val="419"/>
        </w:trPr>
        <w:tc>
          <w:tcPr>
            <w:tcW w:w="10915" w:type="dxa"/>
            <w:gridSpan w:val="5"/>
            <w:shd w:val="clear" w:color="auto" w:fill="F4B083" w:themeFill="accent2" w:themeFillTint="99"/>
          </w:tcPr>
          <w:p w14:paraId="703581C1" w14:textId="77777777" w:rsidR="00C26B1E" w:rsidRPr="00C9005D" w:rsidRDefault="00C9005D" w:rsidP="00C9005D">
            <w:pPr>
              <w:keepNext/>
              <w:spacing w:after="0" w:line="276" w:lineRule="auto"/>
              <w:jc w:val="center"/>
              <w:outlineLvl w:val="0"/>
              <w:rPr>
                <w:rFonts w:ascii="Calibri" w:eastAsia="Times New Roman" w:hAnsi="Calibri" w:cs="Calibri"/>
                <w:sz w:val="32"/>
                <w:szCs w:val="32"/>
              </w:rPr>
            </w:pPr>
            <w:bookmarkStart w:id="0" w:name="_Toc65505159"/>
            <w:r w:rsidRPr="00C9005D">
              <w:rPr>
                <w:rFonts w:ascii="Calibri" w:eastAsia="Times New Roman" w:hAnsi="Calibri" w:cs="Calibri"/>
                <w:b/>
                <w:sz w:val="32"/>
                <w:szCs w:val="32"/>
              </w:rPr>
              <w:lastRenderedPageBreak/>
              <w:t>I.</w:t>
            </w:r>
            <w:r>
              <w:rPr>
                <w:rFonts w:ascii="Calibri" w:eastAsia="Times New Roman" w:hAnsi="Calibri" w:cs="Calibri"/>
                <w:b/>
                <w:sz w:val="32"/>
                <w:szCs w:val="32"/>
              </w:rPr>
              <w:t xml:space="preserve"> </w:t>
            </w:r>
            <w:r w:rsidR="00C26B1E" w:rsidRPr="00C9005D">
              <w:rPr>
                <w:rFonts w:ascii="Calibri" w:eastAsia="Times New Roman" w:hAnsi="Calibri" w:cs="Calibri"/>
                <w:b/>
                <w:sz w:val="32"/>
                <w:szCs w:val="32"/>
              </w:rPr>
              <w:t>ZAGADNIENIA OGÓLNE</w:t>
            </w:r>
            <w:bookmarkEnd w:id="0"/>
          </w:p>
        </w:tc>
      </w:tr>
      <w:tr w:rsidR="00C26B1E" w14:paraId="116C2DA4" w14:textId="77777777" w:rsidTr="00C9005D">
        <w:trPr>
          <w:trHeight w:val="702"/>
        </w:trPr>
        <w:tc>
          <w:tcPr>
            <w:tcW w:w="10915" w:type="dxa"/>
            <w:gridSpan w:val="5"/>
            <w:shd w:val="clear" w:color="auto" w:fill="FFFFFF" w:themeFill="background1"/>
          </w:tcPr>
          <w:p w14:paraId="08CF3A74" w14:textId="09ED1890" w:rsidR="00C26B1E" w:rsidRDefault="00C26B1E"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Zakresem niniejszej Procedury objęte są oprócz Urzędu </w:t>
            </w:r>
            <w:r w:rsidR="00BB33BA">
              <w:rPr>
                <w:rFonts w:ascii="Calibri" w:eastAsia="Times New Roman" w:hAnsi="Calibri" w:cs="Calibri"/>
                <w:lang w:eastAsia="pl-PL"/>
              </w:rPr>
              <w:t>Gminy</w:t>
            </w:r>
            <w:r w:rsidR="001E48FF">
              <w:rPr>
                <w:rFonts w:ascii="Calibri" w:eastAsia="Times New Roman" w:hAnsi="Calibri" w:cs="Calibri"/>
                <w:lang w:eastAsia="pl-PL"/>
              </w:rPr>
              <w:t xml:space="preserve"> </w:t>
            </w:r>
            <w:r w:rsidR="00524738">
              <w:rPr>
                <w:rFonts w:ascii="Calibri" w:eastAsia="Times New Roman" w:hAnsi="Calibri" w:cs="Calibri"/>
                <w:lang w:eastAsia="pl-PL"/>
              </w:rPr>
              <w:t>Radzanów</w:t>
            </w:r>
            <w:r w:rsidR="001B5FF1">
              <w:rPr>
                <w:rFonts w:ascii="Calibri" w:eastAsia="Times New Roman" w:hAnsi="Calibri" w:cs="Calibri"/>
                <w:lang w:eastAsia="pl-PL"/>
              </w:rPr>
              <w:t xml:space="preserve"> </w:t>
            </w:r>
            <w:r w:rsidR="00AE7727" w:rsidRPr="009917E3">
              <w:rPr>
                <w:rFonts w:ascii="Calibri" w:eastAsia="Times New Roman" w:hAnsi="Calibri" w:cs="Calibri"/>
                <w:lang w:eastAsia="pl-PL"/>
              </w:rPr>
              <w:t>(dalej</w:t>
            </w:r>
            <w:r w:rsidR="005241D7" w:rsidRPr="009917E3">
              <w:rPr>
                <w:rFonts w:ascii="Calibri" w:eastAsia="Times New Roman" w:hAnsi="Calibri" w:cs="Calibri"/>
                <w:lang w:eastAsia="pl-PL"/>
              </w:rPr>
              <w:t>:</w:t>
            </w:r>
            <w:r w:rsidR="00AE7727" w:rsidRPr="009917E3">
              <w:rPr>
                <w:rFonts w:ascii="Calibri" w:eastAsia="Times New Roman" w:hAnsi="Calibri" w:cs="Calibri"/>
                <w:lang w:eastAsia="pl-PL"/>
              </w:rPr>
              <w:t xml:space="preserve"> Urząd)</w:t>
            </w:r>
            <w:r w:rsidRPr="009917E3">
              <w:rPr>
                <w:rFonts w:ascii="Calibri" w:eastAsia="Times New Roman" w:hAnsi="Calibri" w:cs="Calibri"/>
                <w:lang w:eastAsia="pl-PL"/>
              </w:rPr>
              <w:t xml:space="preserve"> również wszystkie jednostki budżetowe</w:t>
            </w:r>
            <w:r w:rsidR="00F07EBE">
              <w:rPr>
                <w:rFonts w:ascii="Calibri" w:eastAsia="Times New Roman" w:hAnsi="Calibri" w:cs="Calibri"/>
                <w:lang w:eastAsia="pl-PL"/>
              </w:rPr>
              <w:t xml:space="preserve"> </w:t>
            </w:r>
            <w:r w:rsidR="00BB33BA">
              <w:rPr>
                <w:rFonts w:ascii="Calibri" w:eastAsia="Times New Roman" w:hAnsi="Calibri" w:cs="Calibri"/>
                <w:lang w:eastAsia="pl-PL"/>
              </w:rPr>
              <w:t xml:space="preserve">Gminy </w:t>
            </w:r>
            <w:r w:rsidR="00524738">
              <w:rPr>
                <w:rFonts w:ascii="Calibri" w:eastAsia="Times New Roman" w:hAnsi="Calibri" w:cs="Calibri"/>
                <w:lang w:eastAsia="pl-PL"/>
              </w:rPr>
              <w:t>Radzanów</w:t>
            </w:r>
            <w:r w:rsidR="001B5FF1">
              <w:rPr>
                <w:rFonts w:ascii="Calibri" w:eastAsia="Times New Roman" w:hAnsi="Calibri" w:cs="Calibri"/>
                <w:lang w:eastAsia="pl-PL"/>
              </w:rPr>
              <w:t xml:space="preserve"> </w:t>
            </w:r>
            <w:r w:rsidRPr="009917E3">
              <w:rPr>
                <w:rFonts w:ascii="Calibri" w:eastAsia="Times New Roman" w:hAnsi="Calibri" w:cs="Calibri"/>
                <w:lang w:eastAsia="pl-PL"/>
              </w:rPr>
              <w:t>(dalej: Jednostki)</w:t>
            </w:r>
            <w:r w:rsidR="00B7012F">
              <w:rPr>
                <w:rFonts w:ascii="Calibri" w:eastAsia="Times New Roman" w:hAnsi="Calibri" w:cs="Calibri"/>
                <w:lang w:eastAsia="pl-PL"/>
              </w:rPr>
              <w:t>.</w:t>
            </w:r>
          </w:p>
          <w:p w14:paraId="11022B71" w14:textId="77777777" w:rsidR="00C26B1E" w:rsidRPr="009917E3" w:rsidRDefault="00C26B1E"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Podstawą prawną Procedury są przepisy rozdziału 11a ustawy z dnia 29 sierpnia 1997 r. Ordynacja podatkowa (dalej: Ordynacja podatkowa). </w:t>
            </w:r>
          </w:p>
          <w:p w14:paraId="1B49437A" w14:textId="1F00AD3D" w:rsidR="00C26B1E" w:rsidRPr="009917E3" w:rsidRDefault="004B0791"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Procedura podlega </w:t>
            </w:r>
            <w:r w:rsidR="00656A27">
              <w:rPr>
                <w:rFonts w:ascii="Calibri" w:eastAsia="Times New Roman" w:hAnsi="Calibri" w:cs="Calibri"/>
                <w:lang w:eastAsia="pl-PL"/>
              </w:rPr>
              <w:t xml:space="preserve">okresowym </w:t>
            </w:r>
            <w:r w:rsidRPr="009917E3">
              <w:rPr>
                <w:rFonts w:ascii="Calibri" w:eastAsia="Times New Roman" w:hAnsi="Calibri" w:cs="Calibri"/>
                <w:lang w:eastAsia="pl-PL"/>
              </w:rPr>
              <w:t>przeglądom</w:t>
            </w:r>
            <w:r w:rsidR="00C26B1E" w:rsidRPr="009917E3">
              <w:rPr>
                <w:rFonts w:ascii="Calibri" w:eastAsia="Times New Roman" w:hAnsi="Calibri" w:cs="Calibri"/>
                <w:lang w:eastAsia="pl-PL"/>
              </w:rPr>
              <w:t xml:space="preserve">, pod kątem jej zgodności z obowiązującymi w </w:t>
            </w:r>
            <w:r w:rsidR="005241D7" w:rsidRPr="009917E3">
              <w:rPr>
                <w:rFonts w:ascii="Calibri" w:eastAsia="Times New Roman" w:hAnsi="Calibri" w:cs="Calibri"/>
                <w:lang w:eastAsia="pl-PL"/>
              </w:rPr>
              <w:t xml:space="preserve">Gminie </w:t>
            </w:r>
            <w:r w:rsidR="00524738">
              <w:rPr>
                <w:rFonts w:ascii="Calibri" w:eastAsia="Times New Roman" w:hAnsi="Calibri" w:cs="Calibri"/>
                <w:lang w:eastAsia="pl-PL"/>
              </w:rPr>
              <w:t>Radzanów</w:t>
            </w:r>
            <w:r w:rsidR="001B5FF1">
              <w:rPr>
                <w:rFonts w:ascii="Calibri" w:eastAsia="Times New Roman" w:hAnsi="Calibri" w:cs="Calibri"/>
                <w:lang w:eastAsia="pl-PL"/>
              </w:rPr>
              <w:t xml:space="preserve"> </w:t>
            </w:r>
            <w:r w:rsidR="00C26B1E" w:rsidRPr="009917E3">
              <w:rPr>
                <w:rFonts w:ascii="Calibri" w:eastAsia="Times New Roman" w:hAnsi="Calibri" w:cs="Calibri"/>
                <w:lang w:eastAsia="pl-PL"/>
              </w:rPr>
              <w:t>(dalej</w:t>
            </w:r>
            <w:r w:rsidR="005241D7" w:rsidRPr="009917E3">
              <w:rPr>
                <w:rFonts w:ascii="Calibri" w:eastAsia="Times New Roman" w:hAnsi="Calibri" w:cs="Calibri"/>
                <w:lang w:eastAsia="pl-PL"/>
              </w:rPr>
              <w:t>: Gmina</w:t>
            </w:r>
            <w:r w:rsidR="00C26B1E" w:rsidRPr="009917E3">
              <w:rPr>
                <w:rFonts w:ascii="Calibri" w:eastAsia="Times New Roman" w:hAnsi="Calibri" w:cs="Calibri"/>
                <w:lang w:eastAsia="pl-PL"/>
              </w:rPr>
              <w:t xml:space="preserve">) innymi procedurami oraz z obowiązującymi przepisami, </w:t>
            </w:r>
            <w:r w:rsidR="00C26B1E" w:rsidRPr="009917E3">
              <w:rPr>
                <w:rFonts w:ascii="Calibri" w:eastAsia="Times New Roman" w:hAnsi="Calibri" w:cs="Times New Roman"/>
                <w:lang w:eastAsia="pl-PL"/>
              </w:rPr>
              <w:t>w szczególności</w:t>
            </w:r>
            <w:r w:rsidR="00C26B1E" w:rsidRPr="009917E3">
              <w:rPr>
                <w:rFonts w:ascii="Calibri" w:eastAsia="Times New Roman" w:hAnsi="Calibri" w:cs="Calibri"/>
                <w:lang w:eastAsia="pl-PL"/>
              </w:rPr>
              <w:t xml:space="preserve"> w świetle wprowadzanych zmian przepisów oraz linii interpretacyjnej organów podatkowych. Zadanie to należy do Koordynatora MDR</w:t>
            </w:r>
            <w:r w:rsidR="00DC3220" w:rsidRPr="009917E3">
              <w:rPr>
                <w:rFonts w:ascii="Calibri" w:eastAsia="Times New Roman" w:hAnsi="Calibri" w:cs="Calibri"/>
                <w:lang w:eastAsia="pl-PL"/>
              </w:rPr>
              <w:t xml:space="preserve">, na zlecenie </w:t>
            </w:r>
            <w:r w:rsidR="00685C6D">
              <w:rPr>
                <w:rFonts w:ascii="Calibri" w:eastAsia="Times New Roman" w:hAnsi="Calibri" w:cs="Calibri"/>
                <w:lang w:eastAsia="pl-PL"/>
              </w:rPr>
              <w:t>Wójta</w:t>
            </w:r>
            <w:r w:rsidR="00DC3220" w:rsidRPr="009917E3">
              <w:rPr>
                <w:rFonts w:ascii="Calibri" w:eastAsia="Times New Roman" w:hAnsi="Calibri" w:cs="Calibri"/>
                <w:lang w:eastAsia="pl-PL"/>
              </w:rPr>
              <w:t>.</w:t>
            </w:r>
          </w:p>
          <w:p w14:paraId="64AE665A" w14:textId="77777777" w:rsidR="00C26B1E" w:rsidRPr="009917E3" w:rsidRDefault="00C26B1E"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Procedura nie zastępuje regulacji rozdziału 11a Ordynacji podatkowej, które to przepisy należy stosować.</w:t>
            </w:r>
          </w:p>
          <w:p w14:paraId="11996C08" w14:textId="77777777" w:rsidR="00C26B1E" w:rsidRPr="009917E3" w:rsidRDefault="00C26B1E"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Procedura uwzględnia rolę </w:t>
            </w:r>
            <w:r w:rsidR="005241D7" w:rsidRPr="009917E3">
              <w:rPr>
                <w:rFonts w:ascii="Calibri" w:eastAsia="Times New Roman" w:hAnsi="Calibri" w:cs="Calibri"/>
                <w:lang w:eastAsia="pl-PL"/>
              </w:rPr>
              <w:t>Gminy</w:t>
            </w:r>
            <w:r w:rsidRPr="009917E3">
              <w:rPr>
                <w:rFonts w:ascii="Calibri" w:eastAsia="Times New Roman" w:hAnsi="Calibri" w:cs="Calibri"/>
                <w:lang w:eastAsia="pl-PL"/>
              </w:rPr>
              <w:t xml:space="preserve"> w procesie MDR z perspektywy wystąpienia w roli Korzystającego w</w:t>
            </w:r>
            <w:r w:rsidR="004B0791" w:rsidRPr="009917E3">
              <w:rPr>
                <w:rFonts w:ascii="Calibri" w:eastAsia="Times New Roman" w:hAnsi="Calibri" w:cs="Calibri"/>
                <w:lang w:eastAsia="pl-PL"/>
              </w:rPr>
              <w:t> </w:t>
            </w:r>
            <w:r w:rsidRPr="009917E3">
              <w:rPr>
                <w:rFonts w:ascii="Calibri" w:eastAsia="Times New Roman" w:hAnsi="Calibri" w:cs="Calibri"/>
                <w:lang w:eastAsia="pl-PL"/>
              </w:rPr>
              <w:t xml:space="preserve"> szczególności w</w:t>
            </w:r>
            <w:r w:rsidR="002A6106" w:rsidRPr="009917E3">
              <w:rPr>
                <w:rFonts w:ascii="Calibri" w:eastAsia="Times New Roman" w:hAnsi="Calibri" w:cs="Calibri"/>
                <w:lang w:eastAsia="pl-PL"/>
              </w:rPr>
              <w:t> </w:t>
            </w:r>
            <w:r w:rsidRPr="009917E3">
              <w:rPr>
                <w:rFonts w:ascii="Calibri" w:eastAsia="Times New Roman" w:hAnsi="Calibri" w:cs="Calibri"/>
                <w:lang w:eastAsia="pl-PL"/>
              </w:rPr>
              <w:t>zakresie:</w:t>
            </w:r>
          </w:p>
          <w:p w14:paraId="45D22082" w14:textId="77777777" w:rsidR="00C26B1E" w:rsidRPr="009917E3" w:rsidRDefault="00C26B1E" w:rsidP="00C26B1E">
            <w:pPr>
              <w:numPr>
                <w:ilvl w:val="0"/>
                <w:numId w:val="11"/>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konieczności raportowania poszczególnych zdarzeń jako Schematów Podatkowych;</w:t>
            </w:r>
          </w:p>
          <w:p w14:paraId="2935FE82" w14:textId="77777777" w:rsidR="00C26B1E" w:rsidRPr="009917E3" w:rsidRDefault="00C26B1E" w:rsidP="00C26B1E">
            <w:pPr>
              <w:numPr>
                <w:ilvl w:val="0"/>
                <w:numId w:val="11"/>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oceny zdarzeń występujących w </w:t>
            </w:r>
            <w:r w:rsidR="005241D7" w:rsidRPr="009917E3">
              <w:rPr>
                <w:rFonts w:ascii="Calibri" w:eastAsia="Times New Roman" w:hAnsi="Calibri" w:cs="Calibri"/>
                <w:lang w:eastAsia="pl-PL"/>
              </w:rPr>
              <w:t>Gminie</w:t>
            </w:r>
            <w:r w:rsidRPr="009917E3">
              <w:rPr>
                <w:rFonts w:ascii="Calibri" w:eastAsia="Times New Roman" w:hAnsi="Calibri" w:cs="Calibri"/>
                <w:lang w:eastAsia="pl-PL"/>
              </w:rPr>
              <w:t xml:space="preserve"> jako Schematów Podatkowych;</w:t>
            </w:r>
          </w:p>
          <w:p w14:paraId="17718E8E" w14:textId="77777777" w:rsidR="00C26B1E" w:rsidRPr="009917E3" w:rsidRDefault="00C26B1E" w:rsidP="00C26B1E">
            <w:pPr>
              <w:numPr>
                <w:ilvl w:val="0"/>
                <w:numId w:val="11"/>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reguły monitorowania powyższych zdarzeń.</w:t>
            </w:r>
          </w:p>
          <w:p w14:paraId="7A76A271" w14:textId="2063D7AF" w:rsidR="00C26B1E" w:rsidRPr="009917E3" w:rsidRDefault="00C26B1E"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Koordynator MDR</w:t>
            </w:r>
            <w:r w:rsidR="00DC3220" w:rsidRPr="009917E3">
              <w:rPr>
                <w:rFonts w:ascii="Calibri" w:eastAsia="Times New Roman" w:hAnsi="Calibri" w:cs="Calibri"/>
                <w:lang w:eastAsia="pl-PL"/>
              </w:rPr>
              <w:t xml:space="preserve">, na zlecenie </w:t>
            </w:r>
            <w:r w:rsidR="00685C6D">
              <w:rPr>
                <w:rFonts w:ascii="Calibri" w:eastAsia="Times New Roman" w:hAnsi="Calibri" w:cs="Calibri"/>
                <w:lang w:eastAsia="pl-PL"/>
              </w:rPr>
              <w:t>Wójta</w:t>
            </w:r>
            <w:r w:rsidRPr="009917E3">
              <w:rPr>
                <w:rFonts w:ascii="Calibri" w:eastAsia="Times New Roman" w:hAnsi="Calibri" w:cs="Calibri"/>
                <w:lang w:eastAsia="pl-PL"/>
              </w:rPr>
              <w:t xml:space="preserve">, weryfikuje w stosunku do </w:t>
            </w:r>
            <w:r w:rsidR="00E86678" w:rsidRPr="009917E3">
              <w:rPr>
                <w:rFonts w:ascii="Calibri" w:eastAsia="Times New Roman" w:hAnsi="Calibri" w:cs="Calibri"/>
                <w:lang w:eastAsia="pl-PL"/>
              </w:rPr>
              <w:t>Gminy</w:t>
            </w:r>
            <w:r w:rsidRPr="009917E3">
              <w:rPr>
                <w:rFonts w:ascii="Calibri" w:eastAsia="Times New Roman" w:hAnsi="Calibri" w:cs="Calibri"/>
                <w:lang w:eastAsia="pl-PL"/>
              </w:rPr>
              <w:t xml:space="preserve"> spełnienie przesłanek kryterium kwalifikowanego korzystającego, o których mowa w art. 86a § 4 Ordynacji podatkowej. </w:t>
            </w:r>
          </w:p>
          <w:p w14:paraId="3442C67B" w14:textId="77777777" w:rsidR="00C26B1E" w:rsidRPr="009917E3" w:rsidRDefault="00EF6765" w:rsidP="004B0791">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Na okoliczność powyższych</w:t>
            </w:r>
            <w:r w:rsidR="00C26B1E" w:rsidRPr="009917E3">
              <w:rPr>
                <w:rFonts w:ascii="Calibri" w:eastAsia="Times New Roman" w:hAnsi="Calibri" w:cs="Calibri"/>
                <w:lang w:eastAsia="pl-PL"/>
              </w:rPr>
              <w:t xml:space="preserve"> weryfikacji, Koordynator MDR każdorazowo niezwłocznie sporządza notatkę. Równocześnie </w:t>
            </w:r>
            <w:r w:rsidR="00DC3220" w:rsidRPr="009917E3">
              <w:rPr>
                <w:rFonts w:ascii="Calibri" w:eastAsia="Times New Roman" w:hAnsi="Calibri" w:cs="Calibri"/>
                <w:lang w:eastAsia="pl-PL"/>
              </w:rPr>
              <w:t>Archiwizator</w:t>
            </w:r>
            <w:r w:rsidR="00C26B1E" w:rsidRPr="009917E3">
              <w:rPr>
                <w:rFonts w:ascii="Calibri" w:eastAsia="Times New Roman" w:hAnsi="Calibri" w:cs="Calibri"/>
                <w:lang w:eastAsia="pl-PL"/>
              </w:rPr>
              <w:t xml:space="preserve"> MDR zamieszcza powyższą informację w Bazie Schematów Podatkowych (dalej: BSP). Określone w niniejszej Procedurze obowiązki przewidziane dla kwalifikowanych korzystających mają zastosowanie tylko wtedy, w stosunku do </w:t>
            </w:r>
            <w:r w:rsidR="00E86678" w:rsidRPr="009917E3">
              <w:rPr>
                <w:rFonts w:ascii="Calibri" w:eastAsia="Times New Roman" w:hAnsi="Calibri" w:cs="Calibri"/>
                <w:lang w:eastAsia="pl-PL"/>
              </w:rPr>
              <w:t>Gminy</w:t>
            </w:r>
            <w:r w:rsidR="00C26B1E" w:rsidRPr="009917E3">
              <w:rPr>
                <w:rFonts w:ascii="Calibri" w:eastAsia="Times New Roman" w:hAnsi="Calibri" w:cs="Calibri"/>
                <w:lang w:eastAsia="pl-PL"/>
              </w:rPr>
              <w:t xml:space="preserve">, gdy ta spełnia powyższe kryterium. </w:t>
            </w:r>
          </w:p>
          <w:p w14:paraId="00C53939" w14:textId="77777777" w:rsidR="00C26B1E" w:rsidRPr="009917E3" w:rsidRDefault="00C26B1E" w:rsidP="00EF6765">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Procedura w swych założeniach uwzględnia tzw. centralizację rozliczeń VAT </w:t>
            </w:r>
            <w:r w:rsidR="00E86678" w:rsidRPr="009917E3">
              <w:rPr>
                <w:rFonts w:ascii="Calibri" w:eastAsia="Times New Roman" w:hAnsi="Calibri" w:cs="Calibri"/>
                <w:lang w:eastAsia="pl-PL"/>
              </w:rPr>
              <w:t>Gminy</w:t>
            </w:r>
            <w:r w:rsidRPr="009917E3">
              <w:rPr>
                <w:rFonts w:ascii="Calibri" w:eastAsia="Times New Roman" w:hAnsi="Calibri" w:cs="Calibri"/>
                <w:lang w:eastAsia="pl-PL"/>
              </w:rPr>
              <w:t xml:space="preserve"> oraz Jednostek, o której mowa w ustawie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w:t>
            </w:r>
            <w:r w:rsidR="00EF6765" w:rsidRPr="009917E3">
              <w:rPr>
                <w:rFonts w:ascii="Calibri" w:eastAsia="Times New Roman" w:hAnsi="Calibri" w:cs="Calibri"/>
                <w:lang w:eastAsia="pl-PL"/>
              </w:rPr>
              <w:t> </w:t>
            </w:r>
            <w:r w:rsidRPr="009917E3">
              <w:rPr>
                <w:rFonts w:ascii="Calibri" w:eastAsia="Times New Roman" w:hAnsi="Calibri" w:cs="Calibri"/>
                <w:lang w:eastAsia="pl-PL"/>
              </w:rPr>
              <w:t xml:space="preserve"> Wolnym Handlu przez jednostki samorządu terytorialnego (dalej: ustawa centralizacyjna), a także wyrok Trybunału Sprawiedliwości Unii Europejskiej w sprawie C-276/14 Gmina Wrocław przeciwko Ministrowi Finansów oraz uchwałę Naczelnego Sądu Administracyjnego z dnia 26 października 2015 r. sygn. akt I FPS 4/15.</w:t>
            </w:r>
          </w:p>
          <w:p w14:paraId="2930FFB3" w14:textId="77777777" w:rsidR="00C26B1E" w:rsidRPr="009917E3" w:rsidRDefault="00C26B1E" w:rsidP="00EF6765">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 xml:space="preserve">Niniejsza Procedura jest podzielona na następujące </w:t>
            </w:r>
            <w:r w:rsidR="00EF6765" w:rsidRPr="009917E3">
              <w:rPr>
                <w:rFonts w:ascii="Calibri" w:eastAsia="Times New Roman" w:hAnsi="Calibri" w:cs="Calibri"/>
                <w:lang w:eastAsia="pl-PL"/>
              </w:rPr>
              <w:t>Procesy</w:t>
            </w:r>
            <w:r w:rsidRPr="009917E3">
              <w:rPr>
                <w:rFonts w:ascii="Calibri" w:eastAsia="Times New Roman" w:hAnsi="Calibri" w:cs="Calibri"/>
                <w:lang w:eastAsia="pl-PL"/>
              </w:rPr>
              <w:t>:</w:t>
            </w:r>
            <w:r w:rsidR="00EF6765" w:rsidRPr="009917E3">
              <w:rPr>
                <w:rFonts w:ascii="Calibri" w:eastAsia="Times New Roman" w:hAnsi="Calibri" w:cs="Calibri"/>
                <w:lang w:eastAsia="pl-PL"/>
              </w:rPr>
              <w:t xml:space="preserve"> </w:t>
            </w:r>
          </w:p>
          <w:p w14:paraId="57CE2E26" w14:textId="77777777" w:rsidR="00C26B1E" w:rsidRPr="009917E3" w:rsidRDefault="00EF6765" w:rsidP="00C26B1E">
            <w:pPr>
              <w:numPr>
                <w:ilvl w:val="0"/>
                <w:numId w:val="12"/>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Proces</w:t>
            </w:r>
            <w:r w:rsidR="00C26B1E" w:rsidRPr="009917E3">
              <w:rPr>
                <w:rFonts w:ascii="Calibri" w:eastAsia="Times New Roman" w:hAnsi="Calibri" w:cs="Calibri"/>
                <w:lang w:eastAsia="pl-PL"/>
              </w:rPr>
              <w:t xml:space="preserve"> 1 – Identyfikacja obowiązków raportowych</w:t>
            </w:r>
            <w:r w:rsidR="009922EE" w:rsidRPr="009917E3">
              <w:rPr>
                <w:rFonts w:ascii="Calibri" w:eastAsia="Times New Roman" w:hAnsi="Calibri" w:cs="Calibri"/>
                <w:lang w:eastAsia="pl-PL"/>
              </w:rPr>
              <w:t>,</w:t>
            </w:r>
          </w:p>
          <w:p w14:paraId="1BCD4F05" w14:textId="77777777" w:rsidR="00C26B1E" w:rsidRPr="009917E3" w:rsidRDefault="00EF6765" w:rsidP="00C26B1E">
            <w:pPr>
              <w:numPr>
                <w:ilvl w:val="0"/>
                <w:numId w:val="12"/>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Proces</w:t>
            </w:r>
            <w:r w:rsidR="00653372" w:rsidRPr="009917E3">
              <w:rPr>
                <w:rFonts w:ascii="Calibri" w:eastAsia="Times New Roman" w:hAnsi="Calibri" w:cs="Calibri"/>
                <w:lang w:eastAsia="pl-PL"/>
              </w:rPr>
              <w:t xml:space="preserve"> </w:t>
            </w:r>
            <w:r w:rsidR="00C26B1E" w:rsidRPr="009917E3">
              <w:rPr>
                <w:rFonts w:ascii="Calibri" w:eastAsia="Times New Roman" w:hAnsi="Calibri" w:cs="Calibri"/>
                <w:lang w:eastAsia="pl-PL"/>
              </w:rPr>
              <w:t xml:space="preserve">2– Sposób postępowania w przypadku występowania </w:t>
            </w:r>
            <w:r w:rsidR="00E86678" w:rsidRPr="009917E3">
              <w:rPr>
                <w:rFonts w:ascii="Calibri" w:eastAsia="Times New Roman" w:hAnsi="Calibri" w:cs="Calibri"/>
                <w:lang w:eastAsia="pl-PL"/>
              </w:rPr>
              <w:t>Gminy</w:t>
            </w:r>
            <w:r w:rsidR="00C26B1E" w:rsidRPr="009917E3">
              <w:rPr>
                <w:rFonts w:ascii="Calibri" w:eastAsia="Times New Roman" w:hAnsi="Calibri" w:cs="Calibri"/>
                <w:lang w:eastAsia="pl-PL"/>
              </w:rPr>
              <w:t xml:space="preserve"> w roli</w:t>
            </w:r>
            <w:r w:rsidR="002B5A20" w:rsidRPr="009917E3">
              <w:rPr>
                <w:rFonts w:ascii="Calibri" w:eastAsia="Times New Roman" w:hAnsi="Calibri" w:cs="Calibri"/>
                <w:lang w:eastAsia="pl-PL"/>
              </w:rPr>
              <w:t xml:space="preserve"> Promotora, Wspomagającego,</w:t>
            </w:r>
            <w:r w:rsidR="00C26B1E" w:rsidRPr="009917E3">
              <w:rPr>
                <w:rFonts w:ascii="Calibri" w:eastAsia="Times New Roman" w:hAnsi="Calibri" w:cs="Calibri"/>
                <w:lang w:eastAsia="pl-PL"/>
              </w:rPr>
              <w:t xml:space="preserve"> Korzystającego</w:t>
            </w:r>
            <w:r w:rsidR="009922EE" w:rsidRPr="009917E3">
              <w:rPr>
                <w:rFonts w:ascii="Calibri" w:eastAsia="Times New Roman" w:hAnsi="Calibri" w:cs="Calibri"/>
                <w:lang w:eastAsia="pl-PL"/>
              </w:rPr>
              <w:t>,</w:t>
            </w:r>
          </w:p>
          <w:p w14:paraId="2E5D417E" w14:textId="77777777" w:rsidR="002B5A20" w:rsidRPr="009917E3" w:rsidRDefault="002B5A20" w:rsidP="00C26B1E">
            <w:pPr>
              <w:numPr>
                <w:ilvl w:val="0"/>
                <w:numId w:val="12"/>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Proces 3 – </w:t>
            </w:r>
            <w:r w:rsidR="00653372" w:rsidRPr="009917E3">
              <w:rPr>
                <w:rFonts w:ascii="Calibri" w:eastAsia="Times New Roman" w:hAnsi="Calibri" w:cs="Calibri"/>
                <w:lang w:eastAsia="pl-PL"/>
              </w:rPr>
              <w:t>P</w:t>
            </w:r>
            <w:r w:rsidRPr="009917E3">
              <w:rPr>
                <w:rFonts w:ascii="Calibri" w:eastAsia="Times New Roman" w:hAnsi="Calibri" w:cs="Calibri"/>
                <w:lang w:eastAsia="pl-PL"/>
              </w:rPr>
              <w:t xml:space="preserve">ostępowanie w przypadku zbiegu ról </w:t>
            </w:r>
            <w:r w:rsidR="00E86678" w:rsidRPr="009917E3">
              <w:rPr>
                <w:rFonts w:ascii="Calibri" w:eastAsia="Times New Roman" w:hAnsi="Calibri" w:cs="Calibri"/>
                <w:lang w:eastAsia="pl-PL"/>
              </w:rPr>
              <w:t>Gminy</w:t>
            </w:r>
            <w:r w:rsidRPr="009917E3">
              <w:rPr>
                <w:rFonts w:ascii="Calibri" w:eastAsia="Times New Roman" w:hAnsi="Calibri" w:cs="Calibri"/>
                <w:lang w:eastAsia="pl-PL"/>
              </w:rPr>
              <w:t xml:space="preserve"> w procesie raportowania</w:t>
            </w:r>
            <w:r w:rsidR="009922EE" w:rsidRPr="009917E3">
              <w:rPr>
                <w:rFonts w:ascii="Calibri" w:eastAsia="Times New Roman" w:hAnsi="Calibri" w:cs="Calibri"/>
                <w:lang w:eastAsia="pl-PL"/>
              </w:rPr>
              <w:t>,</w:t>
            </w:r>
          </w:p>
          <w:p w14:paraId="4AA64DF9" w14:textId="77777777" w:rsidR="00C26B1E" w:rsidRPr="009917E3" w:rsidRDefault="00EF6765" w:rsidP="00EF6765">
            <w:pPr>
              <w:numPr>
                <w:ilvl w:val="0"/>
                <w:numId w:val="12"/>
              </w:numPr>
              <w:spacing w:after="0" w:line="276" w:lineRule="auto"/>
              <w:rPr>
                <w:rFonts w:ascii="Calibri" w:eastAsia="Times New Roman" w:hAnsi="Calibri" w:cs="Calibri"/>
                <w:lang w:eastAsia="pl-PL"/>
              </w:rPr>
            </w:pPr>
            <w:r w:rsidRPr="009917E3">
              <w:rPr>
                <w:rFonts w:ascii="Calibri" w:eastAsia="Times New Roman" w:hAnsi="Calibri" w:cs="Calibri"/>
                <w:lang w:eastAsia="pl-PL"/>
              </w:rPr>
              <w:t>Proces</w:t>
            </w:r>
            <w:r w:rsidR="00C26B1E" w:rsidRPr="009917E3">
              <w:rPr>
                <w:rFonts w:ascii="Calibri" w:eastAsia="Times New Roman" w:hAnsi="Calibri" w:cs="Calibri"/>
                <w:lang w:eastAsia="pl-PL"/>
              </w:rPr>
              <w:t xml:space="preserve"> </w:t>
            </w:r>
            <w:r w:rsidR="002B5A20" w:rsidRPr="009917E3">
              <w:rPr>
                <w:rFonts w:ascii="Calibri" w:eastAsia="Times New Roman" w:hAnsi="Calibri" w:cs="Calibri"/>
                <w:lang w:eastAsia="pl-PL"/>
              </w:rPr>
              <w:t>4</w:t>
            </w:r>
            <w:r w:rsidR="00C26B1E" w:rsidRPr="009917E3">
              <w:rPr>
                <w:rFonts w:ascii="Calibri" w:eastAsia="Times New Roman" w:hAnsi="Calibri" w:cs="Calibri"/>
                <w:lang w:eastAsia="pl-PL"/>
              </w:rPr>
              <w:t xml:space="preserve"> – Obowiązki </w:t>
            </w:r>
            <w:r w:rsidR="009922EE" w:rsidRPr="009917E3">
              <w:rPr>
                <w:rFonts w:ascii="Calibri" w:eastAsia="Times New Roman" w:hAnsi="Calibri" w:cs="Calibri"/>
                <w:lang w:eastAsia="pl-PL"/>
              </w:rPr>
              <w:t>osób</w:t>
            </w:r>
            <w:r w:rsidR="00C26B1E" w:rsidRPr="009917E3">
              <w:rPr>
                <w:rFonts w:ascii="Calibri" w:eastAsia="Times New Roman" w:hAnsi="Calibri" w:cs="Calibri"/>
                <w:lang w:eastAsia="pl-PL"/>
              </w:rPr>
              <w:t xml:space="preserve"> zaangażowanych w realizację Procedury w zakresie właściwego archiwizowania dokumentacji</w:t>
            </w:r>
            <w:r w:rsidR="009922EE" w:rsidRPr="009917E3">
              <w:rPr>
                <w:rFonts w:ascii="Calibri" w:eastAsia="Times New Roman" w:hAnsi="Calibri" w:cs="Calibri"/>
                <w:lang w:eastAsia="pl-PL"/>
              </w:rPr>
              <w:t>,</w:t>
            </w:r>
          </w:p>
          <w:p w14:paraId="690A2312" w14:textId="77777777" w:rsidR="00076680" w:rsidRPr="009917E3" w:rsidRDefault="00076680" w:rsidP="00076680">
            <w:pPr>
              <w:numPr>
                <w:ilvl w:val="0"/>
                <w:numId w:val="12"/>
              </w:numPr>
              <w:spacing w:after="0" w:line="276" w:lineRule="auto"/>
              <w:rPr>
                <w:rFonts w:ascii="Calibri" w:eastAsia="Times New Roman" w:hAnsi="Calibri" w:cs="Calibri"/>
                <w:lang w:eastAsia="pl-PL"/>
              </w:rPr>
            </w:pPr>
            <w:r w:rsidRPr="009917E3">
              <w:rPr>
                <w:rFonts w:ascii="Calibri" w:eastAsia="Times New Roman" w:hAnsi="Calibri" w:cs="Calibri"/>
                <w:lang w:eastAsia="pl-PL"/>
              </w:rPr>
              <w:t>Proces</w:t>
            </w:r>
            <w:r w:rsidR="00C26B1E" w:rsidRPr="009917E3">
              <w:rPr>
                <w:rFonts w:ascii="Calibri" w:eastAsia="Times New Roman" w:hAnsi="Calibri" w:cs="Calibri"/>
                <w:lang w:eastAsia="pl-PL"/>
              </w:rPr>
              <w:t xml:space="preserve"> </w:t>
            </w:r>
            <w:r w:rsidR="002B5A20" w:rsidRPr="009917E3">
              <w:rPr>
                <w:rFonts w:ascii="Calibri" w:eastAsia="Times New Roman" w:hAnsi="Calibri" w:cs="Calibri"/>
                <w:lang w:eastAsia="pl-PL"/>
              </w:rPr>
              <w:t>5</w:t>
            </w:r>
            <w:r w:rsidR="00C26B1E" w:rsidRPr="009917E3">
              <w:rPr>
                <w:rFonts w:ascii="Calibri" w:eastAsia="Times New Roman" w:hAnsi="Calibri" w:cs="Calibri"/>
                <w:lang w:eastAsia="pl-PL"/>
              </w:rPr>
              <w:t xml:space="preserve"> – Określenie zadania</w:t>
            </w:r>
            <w:r w:rsidR="00E86678" w:rsidRPr="009917E3">
              <w:rPr>
                <w:rFonts w:ascii="Calibri" w:eastAsia="Times New Roman" w:hAnsi="Calibri" w:cs="Calibri"/>
                <w:lang w:eastAsia="pl-PL"/>
              </w:rPr>
              <w:t xml:space="preserve"> Gminy</w:t>
            </w:r>
            <w:r w:rsidR="00C26B1E" w:rsidRPr="009917E3">
              <w:rPr>
                <w:rFonts w:ascii="Calibri" w:eastAsia="Times New Roman" w:hAnsi="Calibri" w:cs="Calibri"/>
                <w:lang w:eastAsia="pl-PL"/>
              </w:rPr>
              <w:t xml:space="preserve"> w zakresie kontrolowania właściwej realizacji Procedury</w:t>
            </w:r>
            <w:r w:rsidR="009922EE" w:rsidRPr="009917E3">
              <w:rPr>
                <w:rFonts w:ascii="Calibri" w:eastAsia="Times New Roman" w:hAnsi="Calibri" w:cs="Calibri"/>
                <w:lang w:eastAsia="pl-PL"/>
              </w:rPr>
              <w:t>,</w:t>
            </w:r>
          </w:p>
          <w:p w14:paraId="51BA21DF" w14:textId="33067970" w:rsidR="002B5A20" w:rsidRPr="00703ADE" w:rsidRDefault="00076680" w:rsidP="002B5A20">
            <w:pPr>
              <w:numPr>
                <w:ilvl w:val="0"/>
                <w:numId w:val="12"/>
              </w:numPr>
              <w:spacing w:after="0" w:line="276" w:lineRule="auto"/>
              <w:rPr>
                <w:rFonts w:ascii="Calibri" w:eastAsia="Times New Roman" w:hAnsi="Calibri" w:cs="Calibri"/>
                <w:lang w:eastAsia="pl-PL"/>
              </w:rPr>
            </w:pPr>
            <w:r w:rsidRPr="009917E3">
              <w:rPr>
                <w:rFonts w:ascii="Calibri" w:eastAsia="Times New Roman" w:hAnsi="Calibri" w:cs="Calibri"/>
                <w:lang w:eastAsia="pl-PL"/>
              </w:rPr>
              <w:t xml:space="preserve">Proces </w:t>
            </w:r>
            <w:r w:rsidR="002B5A20" w:rsidRPr="009917E3">
              <w:rPr>
                <w:rFonts w:ascii="Calibri" w:eastAsia="Times New Roman" w:hAnsi="Calibri" w:cs="Calibri"/>
                <w:lang w:eastAsia="pl-PL"/>
              </w:rPr>
              <w:t>6</w:t>
            </w:r>
            <w:r w:rsidR="00C9005D" w:rsidRPr="009917E3">
              <w:rPr>
                <w:rFonts w:ascii="Calibri" w:eastAsia="Times New Roman" w:hAnsi="Calibri" w:cs="Calibri"/>
                <w:lang w:eastAsia="pl-PL"/>
              </w:rPr>
              <w:t xml:space="preserve"> – </w:t>
            </w:r>
            <w:r w:rsidR="00653372" w:rsidRPr="009917E3">
              <w:rPr>
                <w:rFonts w:ascii="Calibri" w:eastAsia="Times New Roman" w:hAnsi="Calibri" w:cs="Calibri"/>
                <w:lang w:eastAsia="pl-PL"/>
              </w:rPr>
              <w:t>U</w:t>
            </w:r>
            <w:r w:rsidR="00C9005D" w:rsidRPr="009917E3">
              <w:rPr>
                <w:rFonts w:ascii="Calibri" w:eastAsia="Times New Roman" w:hAnsi="Calibri" w:cs="Calibri"/>
                <w:lang w:eastAsia="pl-PL"/>
              </w:rPr>
              <w:t>powszechnianie</w:t>
            </w:r>
            <w:r w:rsidR="00C26B1E" w:rsidRPr="009917E3">
              <w:rPr>
                <w:rFonts w:ascii="Calibri" w:eastAsia="Times New Roman" w:hAnsi="Calibri" w:cs="Calibri"/>
                <w:lang w:eastAsia="pl-PL"/>
              </w:rPr>
              <w:t xml:space="preserve"> wiedzy dotyczącej obowiązku raportowania schematów podatkowych.</w:t>
            </w:r>
          </w:p>
          <w:p w14:paraId="6CB25B79" w14:textId="77777777" w:rsidR="00DE6AEF" w:rsidRPr="009917E3" w:rsidRDefault="00DE6AEF" w:rsidP="00DE6AEF">
            <w:pPr>
              <w:pStyle w:val="Akapitzlist"/>
              <w:numPr>
                <w:ilvl w:val="0"/>
                <w:numId w:val="22"/>
              </w:numPr>
              <w:spacing w:after="0" w:line="276" w:lineRule="auto"/>
              <w:ind w:left="353" w:hanging="372"/>
              <w:jc w:val="both"/>
              <w:rPr>
                <w:rFonts w:ascii="Calibri" w:eastAsia="Times New Roman" w:hAnsi="Calibri" w:cs="Calibri"/>
                <w:lang w:eastAsia="pl-PL"/>
              </w:rPr>
            </w:pPr>
            <w:r w:rsidRPr="009917E3">
              <w:rPr>
                <w:rFonts w:ascii="Calibri" w:eastAsia="Times New Roman" w:hAnsi="Calibri" w:cs="Calibri"/>
                <w:lang w:eastAsia="pl-PL"/>
              </w:rPr>
              <w:t>Załączniki do Procedury są integralną jej częścią.</w:t>
            </w:r>
          </w:p>
        </w:tc>
      </w:tr>
      <w:tr w:rsidR="006A2A46" w:rsidRPr="006A2A46" w14:paraId="1FBBFA35" w14:textId="77777777" w:rsidTr="00C9005D">
        <w:tblPrEx>
          <w:tblCellMar>
            <w:left w:w="108" w:type="dxa"/>
            <w:right w:w="108" w:type="dxa"/>
          </w:tblCellMar>
        </w:tblPrEx>
        <w:tc>
          <w:tcPr>
            <w:tcW w:w="10915" w:type="dxa"/>
            <w:gridSpan w:val="5"/>
            <w:shd w:val="clear" w:color="auto" w:fill="F4B083" w:themeFill="accent2" w:themeFillTint="99"/>
          </w:tcPr>
          <w:p w14:paraId="7E1FA9A4" w14:textId="7D69B1FA" w:rsidR="006A2A46" w:rsidRPr="009917E3" w:rsidRDefault="00C9005D" w:rsidP="006A2A46">
            <w:pPr>
              <w:keepNext/>
              <w:spacing w:after="0" w:line="276" w:lineRule="auto"/>
              <w:jc w:val="center"/>
              <w:outlineLvl w:val="0"/>
              <w:rPr>
                <w:rFonts w:ascii="Calibri" w:eastAsia="Times New Roman" w:hAnsi="Calibri" w:cs="Calibri"/>
                <w:b/>
                <w:bCs/>
                <w:color w:val="000000"/>
                <w:kern w:val="32"/>
                <w:sz w:val="32"/>
                <w:szCs w:val="32"/>
                <w:lang w:eastAsia="x-none"/>
              </w:rPr>
            </w:pPr>
            <w:bookmarkStart w:id="1" w:name="_Toc65505160"/>
            <w:r w:rsidRPr="009917E3">
              <w:rPr>
                <w:rFonts w:ascii="Calibri" w:eastAsia="Times New Roman" w:hAnsi="Calibri" w:cs="Calibri"/>
                <w:b/>
                <w:bCs/>
                <w:kern w:val="32"/>
                <w:sz w:val="32"/>
                <w:szCs w:val="32"/>
                <w:lang w:eastAsia="x-none"/>
              </w:rPr>
              <w:t xml:space="preserve">II. </w:t>
            </w:r>
            <w:r w:rsidR="006A2A46" w:rsidRPr="009917E3">
              <w:rPr>
                <w:rFonts w:ascii="Calibri" w:eastAsia="Times New Roman" w:hAnsi="Calibri" w:cs="Calibri"/>
                <w:b/>
                <w:bCs/>
                <w:kern w:val="32"/>
                <w:sz w:val="32"/>
                <w:szCs w:val="32"/>
                <w:lang w:val="x-none" w:eastAsia="x-none"/>
              </w:rPr>
              <w:t>INFORMACJE WSTĘ</w:t>
            </w:r>
            <w:r w:rsidR="006670A1" w:rsidRPr="009917E3">
              <w:rPr>
                <w:rFonts w:ascii="Calibri" w:eastAsia="Times New Roman" w:hAnsi="Calibri" w:cs="Calibri"/>
                <w:b/>
                <w:bCs/>
                <w:kern w:val="32"/>
                <w:sz w:val="32"/>
                <w:szCs w:val="32"/>
                <w:lang w:eastAsia="x-none"/>
              </w:rPr>
              <w:t>NE</w:t>
            </w:r>
            <w:bookmarkEnd w:id="1"/>
          </w:p>
        </w:tc>
      </w:tr>
      <w:tr w:rsidR="006A2A46" w:rsidRPr="006A2A46" w14:paraId="748BD729" w14:textId="77777777" w:rsidTr="00C9005D">
        <w:tblPrEx>
          <w:tblCellMar>
            <w:left w:w="108" w:type="dxa"/>
            <w:right w:w="108" w:type="dxa"/>
          </w:tblCellMar>
        </w:tblPrEx>
        <w:tc>
          <w:tcPr>
            <w:tcW w:w="10915" w:type="dxa"/>
            <w:gridSpan w:val="5"/>
            <w:shd w:val="clear" w:color="auto" w:fill="auto"/>
          </w:tcPr>
          <w:p w14:paraId="097A8006" w14:textId="77777777" w:rsidR="006A2A46" w:rsidRPr="009917E3" w:rsidRDefault="006A2A46" w:rsidP="006A2A46">
            <w:pPr>
              <w:numPr>
                <w:ilvl w:val="0"/>
                <w:numId w:val="2"/>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Celem Procedury jest przeciwdziałanie niewywiązywaniu się z obowiązków przekazywania informacji o schematach podatkowych, wynikających z przepisów Ordynacji podatkowej.</w:t>
            </w:r>
          </w:p>
          <w:p w14:paraId="3B8E2592" w14:textId="77777777" w:rsidR="006A2A46" w:rsidRPr="009917E3" w:rsidRDefault="006A2A46" w:rsidP="006A2A46">
            <w:pPr>
              <w:numPr>
                <w:ilvl w:val="0"/>
                <w:numId w:val="2"/>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Zakresem niniejszej Procedury objęte są w równym stopniu Jednostki.</w:t>
            </w:r>
          </w:p>
          <w:p w14:paraId="57441F24" w14:textId="77777777" w:rsidR="006A2A46" w:rsidRPr="009917E3" w:rsidRDefault="006A2A46" w:rsidP="006A2A46">
            <w:pPr>
              <w:numPr>
                <w:ilvl w:val="0"/>
                <w:numId w:val="2"/>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Zakresem niniejszej Procedury objęci są wszyscy pracownicy </w:t>
            </w:r>
            <w:r w:rsidR="00E86678" w:rsidRPr="009917E3">
              <w:rPr>
                <w:rFonts w:ascii="Calibri" w:eastAsia="Times New Roman" w:hAnsi="Calibri" w:cs="Calibri"/>
                <w:lang w:eastAsia="pl-PL"/>
              </w:rPr>
              <w:t>Gminy</w:t>
            </w:r>
            <w:r w:rsidRPr="009917E3">
              <w:rPr>
                <w:rFonts w:ascii="Calibri" w:eastAsia="Times New Roman" w:hAnsi="Calibri" w:cs="Calibri"/>
                <w:lang w:eastAsia="pl-PL"/>
              </w:rPr>
              <w:t>, w tym także pracownicy Jednostek (dalej łącznie: Pracownicy).</w:t>
            </w:r>
          </w:p>
          <w:p w14:paraId="6B6B7E65" w14:textId="77777777" w:rsidR="006A2A46" w:rsidRPr="009917E3" w:rsidRDefault="006A2A46" w:rsidP="006A2A46">
            <w:pPr>
              <w:numPr>
                <w:ilvl w:val="0"/>
                <w:numId w:val="2"/>
              </w:numPr>
              <w:spacing w:after="0" w:line="276" w:lineRule="auto"/>
              <w:ind w:left="357" w:hanging="357"/>
              <w:jc w:val="both"/>
              <w:rPr>
                <w:rFonts w:ascii="Calibri" w:eastAsia="Times New Roman" w:hAnsi="Calibri" w:cs="Calibri"/>
                <w:lang w:eastAsia="pl-PL"/>
              </w:rPr>
            </w:pPr>
            <w:r w:rsidRPr="009917E3">
              <w:rPr>
                <w:rFonts w:ascii="Calibri" w:eastAsia="Times New Roman" w:hAnsi="Calibri" w:cs="Calibri"/>
                <w:lang w:eastAsia="pl-PL"/>
              </w:rPr>
              <w:lastRenderedPageBreak/>
              <w:t xml:space="preserve">Szczegółowe obowiązki i zadania </w:t>
            </w:r>
            <w:r w:rsidR="00E86678" w:rsidRPr="009917E3">
              <w:rPr>
                <w:rFonts w:ascii="Calibri" w:eastAsia="Times New Roman" w:hAnsi="Calibri" w:cs="Calibri"/>
                <w:lang w:eastAsia="pl-PL"/>
              </w:rPr>
              <w:t>Gminy</w:t>
            </w:r>
            <w:r w:rsidRPr="009917E3">
              <w:rPr>
                <w:rFonts w:ascii="Calibri" w:eastAsia="Times New Roman" w:hAnsi="Calibri" w:cs="Calibri"/>
                <w:lang w:eastAsia="pl-PL"/>
              </w:rPr>
              <w:t xml:space="preserve"> i Jednostek oraz Pracowników opisano w dalszej części Procedury z</w:t>
            </w:r>
            <w:r w:rsidR="00C9005D" w:rsidRPr="009917E3">
              <w:rPr>
                <w:rFonts w:ascii="Calibri" w:eastAsia="Times New Roman" w:hAnsi="Calibri" w:cs="Calibri"/>
                <w:lang w:eastAsia="pl-PL"/>
              </w:rPr>
              <w:t> </w:t>
            </w:r>
            <w:r w:rsidRPr="009917E3">
              <w:rPr>
                <w:rFonts w:ascii="Calibri" w:eastAsia="Times New Roman" w:hAnsi="Calibri" w:cs="Calibri"/>
                <w:lang w:eastAsia="pl-PL"/>
              </w:rPr>
              <w:t xml:space="preserve"> uwzględnieniem specyfiki roli, w jakiej </w:t>
            </w:r>
            <w:r w:rsidR="00E86678" w:rsidRPr="009917E3">
              <w:rPr>
                <w:rFonts w:ascii="Calibri" w:eastAsia="Times New Roman" w:hAnsi="Calibri" w:cs="Calibri"/>
                <w:lang w:eastAsia="pl-PL"/>
              </w:rPr>
              <w:t>Gmina</w:t>
            </w:r>
            <w:r w:rsidRPr="009917E3">
              <w:rPr>
                <w:rFonts w:ascii="Calibri" w:eastAsia="Times New Roman" w:hAnsi="Calibri" w:cs="Calibri"/>
                <w:lang w:eastAsia="pl-PL"/>
              </w:rPr>
              <w:t xml:space="preserve"> może występować w procesie identyfikacji schematów podatkowych oraz przekazywania przez</w:t>
            </w:r>
            <w:r w:rsidR="00E86678" w:rsidRPr="009917E3">
              <w:rPr>
                <w:rFonts w:ascii="Calibri" w:eastAsia="Times New Roman" w:hAnsi="Calibri" w:cs="Calibri"/>
                <w:lang w:eastAsia="pl-PL"/>
              </w:rPr>
              <w:t xml:space="preserve"> Gminę</w:t>
            </w:r>
            <w:r w:rsidRPr="009917E3">
              <w:rPr>
                <w:rFonts w:ascii="Calibri" w:eastAsia="Times New Roman" w:hAnsi="Calibri" w:cs="Calibri"/>
                <w:lang w:eastAsia="pl-PL"/>
              </w:rPr>
              <w:t xml:space="preserve"> informacji o schematach podatkowych.</w:t>
            </w:r>
          </w:p>
          <w:p w14:paraId="15DCCC20" w14:textId="77777777" w:rsidR="006A2A46" w:rsidRPr="009917E3" w:rsidRDefault="006A2A46" w:rsidP="006A2A46">
            <w:pPr>
              <w:numPr>
                <w:ilvl w:val="0"/>
                <w:numId w:val="2"/>
              </w:numPr>
              <w:spacing w:after="0" w:line="276" w:lineRule="auto"/>
              <w:ind w:left="357" w:hanging="357"/>
              <w:jc w:val="both"/>
              <w:rPr>
                <w:rFonts w:ascii="Calibri" w:eastAsia="Times New Roman" w:hAnsi="Calibri" w:cs="Calibri"/>
                <w:lang w:eastAsia="pl-PL"/>
              </w:rPr>
            </w:pPr>
            <w:r w:rsidRPr="009917E3">
              <w:rPr>
                <w:rFonts w:ascii="Calibri" w:eastAsia="Times New Roman" w:hAnsi="Calibri" w:cs="Calibri"/>
                <w:lang w:eastAsia="pl-PL"/>
              </w:rPr>
              <w:t>Stosowanie się przez Pracowników do reguł postępowania i obowiązków wynikających z niniejszej Procedury ma na celu dochowanie należytej staranności w sytuacjach, gdy przepisy Rozdziału 11a Ordynacji podatkowej wprost nakładają obowiązki na osoby zatrudnione.</w:t>
            </w:r>
          </w:p>
          <w:p w14:paraId="528F9C99" w14:textId="77777777" w:rsidR="006A2A46" w:rsidRPr="009917E3" w:rsidRDefault="006A2A46" w:rsidP="006A2A46">
            <w:pPr>
              <w:numPr>
                <w:ilvl w:val="0"/>
                <w:numId w:val="2"/>
              </w:numPr>
              <w:spacing w:after="0" w:line="276" w:lineRule="auto"/>
              <w:ind w:left="357" w:hanging="357"/>
              <w:jc w:val="both"/>
              <w:rPr>
                <w:rFonts w:ascii="Calibri" w:eastAsia="Times New Roman" w:hAnsi="Calibri" w:cs="Calibri"/>
                <w:lang w:eastAsia="pl-PL"/>
              </w:rPr>
            </w:pPr>
            <w:r w:rsidRPr="009917E3">
              <w:rPr>
                <w:rFonts w:ascii="Calibri" w:eastAsia="Times New Roman" w:hAnsi="Calibri" w:cs="Calibri"/>
                <w:lang w:eastAsia="pl-PL"/>
              </w:rPr>
              <w:t>Przy określaniu obowiązków w zakresie identyfikacji schematów podatkowych oraz przekazywania informacji o</w:t>
            </w:r>
            <w:r w:rsidR="00C9005D" w:rsidRPr="009917E3">
              <w:rPr>
                <w:rFonts w:ascii="Calibri" w:eastAsia="Times New Roman" w:hAnsi="Calibri" w:cs="Calibri"/>
                <w:lang w:eastAsia="pl-PL"/>
              </w:rPr>
              <w:t> </w:t>
            </w:r>
            <w:r w:rsidRPr="009917E3">
              <w:rPr>
                <w:rFonts w:ascii="Calibri" w:eastAsia="Times New Roman" w:hAnsi="Calibri" w:cs="Calibri"/>
                <w:lang w:eastAsia="pl-PL"/>
              </w:rPr>
              <w:t xml:space="preserve"> schematach podatkowych </w:t>
            </w:r>
            <w:r w:rsidR="00E86678" w:rsidRPr="009917E3">
              <w:rPr>
                <w:rFonts w:ascii="Calibri" w:eastAsia="Times New Roman" w:hAnsi="Calibri" w:cs="Calibri"/>
                <w:lang w:eastAsia="pl-PL"/>
              </w:rPr>
              <w:t>Gmina</w:t>
            </w:r>
            <w:r w:rsidRPr="009917E3">
              <w:rPr>
                <w:rFonts w:ascii="Calibri" w:eastAsia="Times New Roman" w:hAnsi="Calibri" w:cs="Calibri"/>
                <w:lang w:eastAsia="pl-PL"/>
              </w:rPr>
              <w:t xml:space="preserve"> opiera się na regułach i zasadach opisanych w niniejszej Procedurze, przepisach prawa oraz dodatkowych źródłach informacji, w szczególności dostępnych interpretacjach, objaśnieniach i</w:t>
            </w:r>
            <w:r w:rsidR="00C9005D" w:rsidRPr="009917E3">
              <w:rPr>
                <w:rFonts w:ascii="Calibri" w:eastAsia="Times New Roman" w:hAnsi="Calibri" w:cs="Calibri"/>
                <w:lang w:eastAsia="pl-PL"/>
              </w:rPr>
              <w:t> </w:t>
            </w:r>
            <w:r w:rsidRPr="009917E3">
              <w:rPr>
                <w:rFonts w:ascii="Calibri" w:eastAsia="Times New Roman" w:hAnsi="Calibri" w:cs="Calibri"/>
                <w:lang w:eastAsia="pl-PL"/>
              </w:rPr>
              <w:t xml:space="preserve"> wyjaśnieniach Ministerstwa Finansów w zakresie schematów podatkowych (ze wskazaniem ich NSP), praktyce rynkowej, wynikach analiz i decyzji wewnętrznych.</w:t>
            </w:r>
          </w:p>
          <w:p w14:paraId="6A778387" w14:textId="1336D0C3" w:rsidR="006A2A46" w:rsidRPr="009917E3" w:rsidRDefault="006A2A46" w:rsidP="00053F3E">
            <w:pPr>
              <w:pStyle w:val="Akapitzlist"/>
              <w:numPr>
                <w:ilvl w:val="0"/>
                <w:numId w:val="2"/>
              </w:numPr>
              <w:spacing w:before="24" w:after="24"/>
              <w:ind w:right="24"/>
              <w:jc w:val="both"/>
              <w:rPr>
                <w:rFonts w:ascii="Calibri" w:eastAsia="Times New Roman" w:hAnsi="Calibri" w:cs="Calibri"/>
                <w:lang w:eastAsia="pl-PL"/>
              </w:rPr>
            </w:pPr>
            <w:r w:rsidRPr="009917E3">
              <w:rPr>
                <w:rFonts w:ascii="Calibri" w:eastAsia="Times New Roman" w:hAnsi="Calibri" w:cs="Calibri"/>
                <w:lang w:eastAsia="pl-PL"/>
              </w:rPr>
              <w:t>Koordynatorem MDR</w:t>
            </w:r>
            <w:r w:rsidR="00685C6D">
              <w:rPr>
                <w:rFonts w:ascii="Calibri" w:eastAsia="Times New Roman" w:hAnsi="Calibri" w:cs="Calibri"/>
                <w:lang w:eastAsia="pl-PL"/>
              </w:rPr>
              <w:t xml:space="preserve"> w Gminie</w:t>
            </w:r>
            <w:r w:rsidRPr="009917E3">
              <w:rPr>
                <w:rFonts w:ascii="Calibri" w:eastAsia="Times New Roman" w:hAnsi="Calibri" w:cs="Calibri"/>
                <w:lang w:eastAsia="pl-PL"/>
              </w:rPr>
              <w:t xml:space="preserve"> </w:t>
            </w:r>
            <w:r w:rsidR="00685C6D">
              <w:rPr>
                <w:rFonts w:ascii="Calibri" w:eastAsia="Times New Roman" w:hAnsi="Calibri" w:cs="Calibri"/>
                <w:lang w:eastAsia="pl-PL"/>
              </w:rPr>
              <w:t xml:space="preserve">jest </w:t>
            </w:r>
            <w:r w:rsidR="006B2398">
              <w:rPr>
                <w:rFonts w:ascii="Calibri" w:eastAsia="Times New Roman" w:hAnsi="Calibri" w:cs="Calibri"/>
                <w:lang w:eastAsia="pl-PL"/>
              </w:rPr>
              <w:t>pracownik ds. księgowości i rozliczeń VAT</w:t>
            </w:r>
            <w:r w:rsidR="007C49C3">
              <w:rPr>
                <w:rFonts w:ascii="Calibri" w:eastAsia="Times New Roman" w:hAnsi="Calibri" w:cs="Calibri"/>
                <w:lang w:eastAsia="pl-PL"/>
              </w:rPr>
              <w:t xml:space="preserve"> </w:t>
            </w:r>
            <w:r w:rsidR="00BD3495">
              <w:rPr>
                <w:rFonts w:ascii="Calibri" w:eastAsia="Times New Roman" w:hAnsi="Calibri" w:cs="Calibri"/>
                <w:lang w:eastAsia="pl-PL"/>
              </w:rPr>
              <w:t>Procedura nie może być zmieniana bez akceptacji Koordynatora MDR.</w:t>
            </w:r>
            <w:r w:rsidR="008D1DFB">
              <w:rPr>
                <w:rFonts w:ascii="Calibri" w:eastAsia="Times New Roman" w:hAnsi="Calibri" w:cs="Calibri"/>
                <w:lang w:eastAsia="pl-PL"/>
              </w:rPr>
              <w:t xml:space="preserve"> </w:t>
            </w:r>
          </w:p>
          <w:p w14:paraId="24309E6F" w14:textId="77777777" w:rsidR="00685C6D" w:rsidRDefault="00685C6D" w:rsidP="00656A27">
            <w:pPr>
              <w:pStyle w:val="Akapitzlist"/>
              <w:numPr>
                <w:ilvl w:val="0"/>
                <w:numId w:val="2"/>
              </w:numPr>
              <w:spacing w:before="24" w:after="24"/>
              <w:ind w:right="24"/>
              <w:jc w:val="both"/>
              <w:rPr>
                <w:rFonts w:ascii="Calibri" w:eastAsia="Times New Roman" w:hAnsi="Calibri" w:cs="Calibri"/>
                <w:lang w:eastAsia="pl-PL"/>
              </w:rPr>
            </w:pPr>
            <w:r>
              <w:rPr>
                <w:rFonts w:ascii="Calibri" w:eastAsia="Times New Roman" w:hAnsi="Calibri" w:cs="Calibri"/>
                <w:lang w:eastAsia="pl-PL"/>
              </w:rPr>
              <w:t>Wójt</w:t>
            </w:r>
            <w:r w:rsidR="00656A27">
              <w:rPr>
                <w:rFonts w:ascii="Calibri" w:eastAsia="Times New Roman" w:hAnsi="Calibri" w:cs="Calibri"/>
                <w:lang w:eastAsia="pl-PL"/>
              </w:rPr>
              <w:t xml:space="preserve"> </w:t>
            </w:r>
            <w:r>
              <w:rPr>
                <w:rFonts w:ascii="Calibri" w:eastAsia="Times New Roman" w:hAnsi="Calibri" w:cs="Calibri"/>
                <w:lang w:eastAsia="pl-PL"/>
              </w:rPr>
              <w:t>spośród</w:t>
            </w:r>
            <w:r w:rsidR="00A3205F" w:rsidRPr="009917E3">
              <w:rPr>
                <w:rFonts w:ascii="Calibri" w:eastAsia="Times New Roman" w:hAnsi="Calibri" w:cs="Calibri"/>
                <w:lang w:eastAsia="pl-PL"/>
              </w:rPr>
              <w:t xml:space="preserve"> Pracowników Gminy ustanawia Archiwizatora MDR.</w:t>
            </w:r>
            <w:r w:rsidR="00656A27" w:rsidRPr="00656A27">
              <w:rPr>
                <w:rFonts w:ascii="Calibri" w:eastAsia="Times New Roman" w:hAnsi="Calibri" w:cs="Calibri"/>
                <w:lang w:eastAsia="pl-PL"/>
              </w:rPr>
              <w:t xml:space="preserve"> </w:t>
            </w:r>
          </w:p>
          <w:p w14:paraId="099FB890" w14:textId="77777777" w:rsidR="00C9403D" w:rsidRDefault="00685C6D" w:rsidP="00656A27">
            <w:pPr>
              <w:pStyle w:val="Akapitzlist"/>
              <w:numPr>
                <w:ilvl w:val="0"/>
                <w:numId w:val="2"/>
              </w:numPr>
              <w:spacing w:before="24" w:after="24"/>
              <w:ind w:right="24"/>
              <w:jc w:val="both"/>
              <w:rPr>
                <w:rFonts w:ascii="Calibri" w:eastAsia="Times New Roman" w:hAnsi="Calibri" w:cs="Calibri"/>
                <w:lang w:eastAsia="pl-PL"/>
              </w:rPr>
            </w:pPr>
            <w:r>
              <w:rPr>
                <w:rFonts w:ascii="Calibri" w:eastAsia="Times New Roman" w:hAnsi="Calibri" w:cs="Calibri"/>
                <w:lang w:eastAsia="pl-PL"/>
              </w:rPr>
              <w:t xml:space="preserve">Nie wyklucza się, że Archiwizator MDR może być równocześnie Koordynatorem MDR. </w:t>
            </w:r>
          </w:p>
          <w:p w14:paraId="05FDCC1B" w14:textId="0FD51549" w:rsidR="00A3205F" w:rsidRPr="00656A27" w:rsidRDefault="00656A27" w:rsidP="00656A27">
            <w:pPr>
              <w:pStyle w:val="Akapitzlist"/>
              <w:numPr>
                <w:ilvl w:val="0"/>
                <w:numId w:val="2"/>
              </w:numPr>
              <w:spacing w:before="24" w:after="24"/>
              <w:ind w:right="24"/>
              <w:jc w:val="both"/>
              <w:rPr>
                <w:rFonts w:ascii="Calibri" w:eastAsia="Times New Roman" w:hAnsi="Calibri" w:cs="Calibri"/>
                <w:lang w:eastAsia="pl-PL"/>
              </w:rPr>
            </w:pPr>
            <w:r>
              <w:rPr>
                <w:rFonts w:ascii="Calibri" w:eastAsia="Times New Roman" w:hAnsi="Calibri" w:cs="Calibri"/>
                <w:lang w:eastAsia="pl-PL"/>
              </w:rPr>
              <w:t>A</w:t>
            </w:r>
            <w:r w:rsidRPr="00656A27">
              <w:rPr>
                <w:rFonts w:ascii="Calibri" w:eastAsia="Times New Roman" w:hAnsi="Calibri" w:cs="Calibri"/>
                <w:lang w:eastAsia="pl-PL"/>
              </w:rPr>
              <w:t xml:space="preserve">rchiwizatorem MDR z ramienia </w:t>
            </w:r>
            <w:r w:rsidR="001E48FF">
              <w:rPr>
                <w:rFonts w:ascii="Calibri" w:eastAsia="Times New Roman" w:hAnsi="Calibri" w:cs="Calibri"/>
                <w:lang w:eastAsia="pl-PL"/>
              </w:rPr>
              <w:t>Gm</w:t>
            </w:r>
            <w:r w:rsidRPr="00656A27">
              <w:rPr>
                <w:rFonts w:ascii="Calibri" w:eastAsia="Times New Roman" w:hAnsi="Calibri" w:cs="Calibri"/>
                <w:lang w:eastAsia="pl-PL"/>
              </w:rPr>
              <w:t xml:space="preserve">iny </w:t>
            </w:r>
            <w:r w:rsidR="00524738">
              <w:rPr>
                <w:rFonts w:ascii="Calibri" w:eastAsia="Times New Roman" w:hAnsi="Calibri" w:cs="Calibri"/>
                <w:lang w:eastAsia="pl-PL"/>
              </w:rPr>
              <w:t>Radzanów</w:t>
            </w:r>
            <w:r w:rsidR="00312918">
              <w:rPr>
                <w:rFonts w:ascii="Calibri" w:eastAsia="Times New Roman" w:hAnsi="Calibri" w:cs="Calibri"/>
                <w:lang w:eastAsia="pl-PL"/>
              </w:rPr>
              <w:t xml:space="preserve"> </w:t>
            </w:r>
            <w:r w:rsidRPr="00656A27">
              <w:rPr>
                <w:rFonts w:ascii="Calibri" w:eastAsia="Times New Roman" w:hAnsi="Calibri" w:cs="Calibri"/>
                <w:lang w:eastAsia="pl-PL"/>
              </w:rPr>
              <w:t>jest pracownik</w:t>
            </w:r>
            <w:r w:rsidR="006B2398">
              <w:rPr>
                <w:rFonts w:ascii="Calibri" w:eastAsia="Times New Roman" w:hAnsi="Calibri" w:cs="Calibri"/>
                <w:lang w:eastAsia="pl-PL"/>
              </w:rPr>
              <w:t xml:space="preserve"> ds. księgowości i rozliczeń VAT</w:t>
            </w:r>
            <w:r w:rsidR="00A80F41">
              <w:rPr>
                <w:rFonts w:ascii="Calibri" w:eastAsia="Times New Roman" w:hAnsi="Calibri" w:cs="Calibri"/>
                <w:lang w:eastAsia="pl-PL"/>
              </w:rPr>
              <w:t>.</w:t>
            </w:r>
          </w:p>
        </w:tc>
      </w:tr>
      <w:tr w:rsidR="006A2A46" w:rsidRPr="006A2A46" w14:paraId="540230BE" w14:textId="77777777" w:rsidTr="009C3EA6">
        <w:tblPrEx>
          <w:tblCellMar>
            <w:left w:w="108" w:type="dxa"/>
            <w:right w:w="108" w:type="dxa"/>
          </w:tblCellMar>
        </w:tblPrEx>
        <w:tc>
          <w:tcPr>
            <w:tcW w:w="4253" w:type="dxa"/>
            <w:gridSpan w:val="4"/>
            <w:shd w:val="clear" w:color="auto" w:fill="F4B083" w:themeFill="accent2" w:themeFillTint="99"/>
          </w:tcPr>
          <w:p w14:paraId="33CA384E" w14:textId="77777777" w:rsidR="006A2A46" w:rsidRPr="009917E3" w:rsidRDefault="00726720" w:rsidP="006A2A46">
            <w:pPr>
              <w:widowControl w:val="0"/>
              <w:autoSpaceDE w:val="0"/>
              <w:autoSpaceDN w:val="0"/>
              <w:adjustRightInd w:val="0"/>
              <w:spacing w:after="0" w:line="276" w:lineRule="auto"/>
              <w:jc w:val="center"/>
              <w:rPr>
                <w:rFonts w:ascii="Calibri" w:eastAsia="Times New Roman" w:hAnsi="Calibri" w:cs="Calibri"/>
                <w:b/>
                <w:bCs/>
                <w:sz w:val="24"/>
                <w:szCs w:val="24"/>
                <w:lang w:eastAsia="pl-PL"/>
              </w:rPr>
            </w:pPr>
            <w:r w:rsidRPr="009917E3">
              <w:rPr>
                <w:rFonts w:ascii="Calibri" w:eastAsia="Times New Roman" w:hAnsi="Calibri" w:cs="Calibri"/>
                <w:b/>
                <w:bCs/>
                <w:sz w:val="24"/>
                <w:szCs w:val="24"/>
                <w:lang w:eastAsia="pl-PL"/>
              </w:rPr>
              <w:lastRenderedPageBreak/>
              <w:t>Podstawowe definicje</w:t>
            </w:r>
          </w:p>
        </w:tc>
        <w:tc>
          <w:tcPr>
            <w:tcW w:w="6662" w:type="dxa"/>
            <w:shd w:val="clear" w:color="auto" w:fill="F4B083" w:themeFill="accent2" w:themeFillTint="99"/>
          </w:tcPr>
          <w:p w14:paraId="6FDEDE47" w14:textId="77777777" w:rsidR="006A2A46" w:rsidRPr="009917E3" w:rsidRDefault="006A2A46" w:rsidP="006A2A46">
            <w:pPr>
              <w:widowControl w:val="0"/>
              <w:autoSpaceDE w:val="0"/>
              <w:autoSpaceDN w:val="0"/>
              <w:adjustRightInd w:val="0"/>
              <w:spacing w:after="0" w:line="276" w:lineRule="auto"/>
              <w:jc w:val="center"/>
              <w:rPr>
                <w:rFonts w:ascii="Calibri" w:eastAsia="Times New Roman" w:hAnsi="Calibri" w:cs="Calibri"/>
                <w:b/>
                <w:bCs/>
                <w:sz w:val="24"/>
                <w:szCs w:val="24"/>
                <w:lang w:eastAsia="pl-PL"/>
              </w:rPr>
            </w:pPr>
            <w:r w:rsidRPr="009917E3">
              <w:rPr>
                <w:rFonts w:ascii="Calibri" w:eastAsia="Times New Roman" w:hAnsi="Calibri" w:cs="Calibri"/>
                <w:b/>
                <w:bCs/>
                <w:sz w:val="24"/>
                <w:szCs w:val="24"/>
                <w:lang w:eastAsia="pl-PL"/>
              </w:rPr>
              <w:t>ODPOWIEDZIALNOŚĆ</w:t>
            </w:r>
          </w:p>
        </w:tc>
      </w:tr>
      <w:tr w:rsidR="006A2A46" w:rsidRPr="006A2A46" w14:paraId="55B9E1C8" w14:textId="77777777" w:rsidTr="009C3EA6">
        <w:tblPrEx>
          <w:tblCellMar>
            <w:left w:w="108" w:type="dxa"/>
            <w:right w:w="108" w:type="dxa"/>
          </w:tblCellMar>
        </w:tblPrEx>
        <w:trPr>
          <w:trHeight w:val="983"/>
        </w:trPr>
        <w:tc>
          <w:tcPr>
            <w:tcW w:w="4253" w:type="dxa"/>
            <w:gridSpan w:val="4"/>
          </w:tcPr>
          <w:p w14:paraId="7314D90A" w14:textId="77777777" w:rsidR="006A2A46" w:rsidRPr="009917E3" w:rsidRDefault="006A2A46" w:rsidP="00726720">
            <w:p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Niniejsza Procedura posługuje się następującymi pojęciami ustawowymi, szczegółowo zdefiniowanymi w art. 86a Ordynacji podatkowej: Uzgodnienie; Schemat Podatkowy; Schemat Podatkowy Standaryzowany; Schemat Podatkowy Transgraniczny; Korzyść Podatkowa; Kryterium Kwalifikowanego Korzystającego; Kryterium Głównej Korzyści; Kryterium Transgraniczne; Promotor; Korzystający; Wspomagający; Ogólna Cecha Rozpoznawcza; Szczególna Cecha Rozpoznawcza; Inna Szczególna Cecha Rozpoznawcza; NSP; Podmiot Powiązany; Udostępnianie; Wdrażanie, których definicje (biorąc pod uwagę specyfikę działalności </w:t>
            </w:r>
            <w:r w:rsidR="00C311CC" w:rsidRPr="009917E3">
              <w:rPr>
                <w:rFonts w:ascii="Calibri" w:eastAsia="Times New Roman" w:hAnsi="Calibri" w:cs="Calibri"/>
                <w:lang w:eastAsia="pl-PL"/>
              </w:rPr>
              <w:t>Gminy</w:t>
            </w:r>
            <w:r w:rsidRPr="009917E3">
              <w:rPr>
                <w:rFonts w:ascii="Calibri" w:eastAsia="Times New Roman" w:hAnsi="Calibri" w:cs="Calibri"/>
                <w:lang w:eastAsia="pl-PL"/>
              </w:rPr>
              <w:t xml:space="preserve">) umieszczono w załączniku </w:t>
            </w:r>
            <w:r w:rsidR="00726720" w:rsidRPr="009917E3">
              <w:rPr>
                <w:rFonts w:ascii="Calibri" w:eastAsia="Times New Roman" w:hAnsi="Calibri" w:cs="Calibri"/>
                <w:lang w:eastAsia="pl-PL"/>
              </w:rPr>
              <w:t xml:space="preserve">nr 1 </w:t>
            </w:r>
            <w:r w:rsidRPr="009917E3">
              <w:rPr>
                <w:rFonts w:ascii="Calibri" w:eastAsia="Times New Roman" w:hAnsi="Calibri" w:cs="Calibri"/>
                <w:lang w:eastAsia="pl-PL"/>
              </w:rPr>
              <w:t>do niniejszej Procedury.</w:t>
            </w:r>
          </w:p>
        </w:tc>
        <w:tc>
          <w:tcPr>
            <w:tcW w:w="6662" w:type="dxa"/>
            <w:shd w:val="clear" w:color="auto" w:fill="auto"/>
          </w:tcPr>
          <w:p w14:paraId="01D743AE" w14:textId="77777777" w:rsidR="006A2A46" w:rsidRPr="009917E3" w:rsidRDefault="006A2A46" w:rsidP="00726720">
            <w:pPr>
              <w:numPr>
                <w:ilvl w:val="0"/>
                <w:numId w:val="3"/>
              </w:numPr>
              <w:spacing w:after="0" w:line="276" w:lineRule="auto"/>
              <w:ind w:left="319" w:hanging="319"/>
              <w:jc w:val="both"/>
              <w:rPr>
                <w:rFonts w:ascii="Calibri" w:eastAsia="Times New Roman" w:hAnsi="Calibri" w:cs="Calibri"/>
                <w:lang w:eastAsia="pl-PL"/>
              </w:rPr>
            </w:pPr>
            <w:r w:rsidRPr="009917E3">
              <w:rPr>
                <w:rFonts w:ascii="Calibri" w:eastAsia="Times New Roman" w:hAnsi="Calibri" w:cs="Calibri"/>
                <w:szCs w:val="16"/>
                <w:lang w:eastAsia="pl-PL"/>
              </w:rPr>
              <w:t>Za prawidłowe wypełnianie obowiązków określonych w</w:t>
            </w:r>
            <w:r w:rsidR="00726720" w:rsidRPr="009917E3">
              <w:rPr>
                <w:rFonts w:ascii="Calibri" w:eastAsia="Times New Roman" w:hAnsi="Calibri" w:cs="Calibri"/>
                <w:szCs w:val="16"/>
                <w:lang w:eastAsia="pl-PL"/>
              </w:rPr>
              <w:t> </w:t>
            </w:r>
            <w:r w:rsidRPr="009917E3">
              <w:rPr>
                <w:rFonts w:ascii="Calibri" w:eastAsia="Times New Roman" w:hAnsi="Calibri" w:cs="Calibri"/>
                <w:szCs w:val="16"/>
                <w:lang w:eastAsia="pl-PL"/>
              </w:rPr>
              <w:t xml:space="preserve"> Procedurze odpowiedzialni są w szczególności:</w:t>
            </w:r>
          </w:p>
          <w:p w14:paraId="0EB56FD8" w14:textId="5A0C0B59" w:rsidR="00A80F41" w:rsidRDefault="00A80F41" w:rsidP="00A80F41">
            <w:pPr>
              <w:numPr>
                <w:ilvl w:val="0"/>
                <w:numId w:val="9"/>
              </w:numPr>
              <w:spacing w:after="0" w:line="276" w:lineRule="auto"/>
              <w:ind w:left="641" w:hanging="357"/>
              <w:jc w:val="both"/>
              <w:rPr>
                <w:rFonts w:ascii="Calibri" w:eastAsia="Times New Roman" w:hAnsi="Calibri" w:cs="Calibri"/>
                <w:lang w:eastAsia="pl-PL"/>
              </w:rPr>
            </w:pPr>
            <w:r>
              <w:rPr>
                <w:rFonts w:ascii="Calibri" w:eastAsia="Times New Roman" w:hAnsi="Calibri" w:cs="Calibri"/>
                <w:lang w:eastAsia="pl-PL"/>
              </w:rPr>
              <w:t>K</w:t>
            </w:r>
            <w:r w:rsidRPr="00A80F41">
              <w:rPr>
                <w:rFonts w:ascii="Calibri" w:eastAsia="Times New Roman" w:hAnsi="Calibri" w:cs="Calibri"/>
                <w:lang w:eastAsia="pl-PL"/>
              </w:rPr>
              <w:t xml:space="preserve">ierownicy i </w:t>
            </w:r>
            <w:r>
              <w:rPr>
                <w:rFonts w:ascii="Calibri" w:eastAsia="Times New Roman" w:hAnsi="Calibri" w:cs="Calibri"/>
                <w:lang w:eastAsia="pl-PL"/>
              </w:rPr>
              <w:t>D</w:t>
            </w:r>
            <w:r w:rsidRPr="00A80F41">
              <w:rPr>
                <w:rFonts w:ascii="Calibri" w:eastAsia="Times New Roman" w:hAnsi="Calibri" w:cs="Calibri"/>
                <w:lang w:eastAsia="pl-PL"/>
              </w:rPr>
              <w:t xml:space="preserve">yrektorzy </w:t>
            </w:r>
            <w:r>
              <w:rPr>
                <w:rFonts w:ascii="Calibri" w:eastAsia="Times New Roman" w:hAnsi="Calibri" w:cs="Calibri"/>
                <w:lang w:eastAsia="pl-PL"/>
              </w:rPr>
              <w:t xml:space="preserve">Jednostek oraz </w:t>
            </w:r>
            <w:r w:rsidRPr="00A80F41">
              <w:rPr>
                <w:rFonts w:ascii="Calibri" w:eastAsia="Times New Roman" w:hAnsi="Calibri" w:cs="Calibri"/>
                <w:lang w:eastAsia="pl-PL"/>
              </w:rPr>
              <w:t xml:space="preserve"> Kierownicy Urzędu </w:t>
            </w:r>
            <w:r w:rsidR="00C9403D">
              <w:rPr>
                <w:rFonts w:ascii="Calibri" w:eastAsia="Times New Roman" w:hAnsi="Calibri" w:cs="Calibri"/>
                <w:lang w:eastAsia="pl-PL"/>
              </w:rPr>
              <w:t xml:space="preserve">Gminy </w:t>
            </w:r>
            <w:r w:rsidR="00524738">
              <w:rPr>
                <w:rFonts w:ascii="Calibri" w:eastAsia="Times New Roman" w:hAnsi="Calibri" w:cs="Calibri"/>
                <w:lang w:eastAsia="pl-PL"/>
              </w:rPr>
              <w:t>Radzanów</w:t>
            </w:r>
            <w:r w:rsidR="001B5FF1">
              <w:rPr>
                <w:rFonts w:ascii="Calibri" w:eastAsia="Times New Roman" w:hAnsi="Calibri" w:cs="Calibri"/>
                <w:lang w:eastAsia="pl-PL"/>
              </w:rPr>
              <w:t xml:space="preserve"> </w:t>
            </w:r>
            <w:r w:rsidRPr="00A80F41">
              <w:rPr>
                <w:rFonts w:ascii="Calibri" w:eastAsia="Times New Roman" w:hAnsi="Calibri" w:cs="Calibri"/>
                <w:lang w:eastAsia="pl-PL"/>
              </w:rPr>
              <w:t>w ramach nadzorowanych referatów</w:t>
            </w:r>
            <w:r>
              <w:rPr>
                <w:rFonts w:ascii="Calibri" w:eastAsia="Times New Roman" w:hAnsi="Calibri" w:cs="Calibri"/>
                <w:lang w:eastAsia="pl-PL"/>
              </w:rPr>
              <w:t>;</w:t>
            </w:r>
          </w:p>
          <w:p w14:paraId="5D59603F" w14:textId="1BAB9DC4" w:rsidR="009C3EA6" w:rsidRPr="00123EE5" w:rsidRDefault="009C3EA6" w:rsidP="00A80F41">
            <w:pPr>
              <w:numPr>
                <w:ilvl w:val="0"/>
                <w:numId w:val="9"/>
              </w:numPr>
              <w:spacing w:after="0" w:line="276" w:lineRule="auto"/>
              <w:ind w:left="641" w:hanging="357"/>
              <w:jc w:val="both"/>
              <w:rPr>
                <w:rFonts w:ascii="Calibri" w:eastAsia="Times New Roman" w:hAnsi="Calibri" w:cs="Calibri"/>
                <w:lang w:eastAsia="pl-PL"/>
              </w:rPr>
            </w:pPr>
            <w:r w:rsidRPr="00123EE5">
              <w:rPr>
                <w:rFonts w:ascii="Calibri" w:eastAsia="Times New Roman" w:hAnsi="Calibri" w:cs="Calibri"/>
                <w:lang w:eastAsia="pl-PL"/>
              </w:rPr>
              <w:t>Pracownicy w zakresie kompletności, rzetelności oraz terminowości przekazywanych danych do Koordynatora MDR oraz właściwy przebieg komunikacji z Koordynatorem;</w:t>
            </w:r>
          </w:p>
          <w:p w14:paraId="163B2DAF" w14:textId="77777777" w:rsidR="00053F3E" w:rsidRPr="009917E3" w:rsidRDefault="006A2A46" w:rsidP="006A2A46">
            <w:pPr>
              <w:numPr>
                <w:ilvl w:val="0"/>
                <w:numId w:val="9"/>
              </w:numPr>
              <w:spacing w:after="0" w:line="276" w:lineRule="auto"/>
              <w:ind w:left="641" w:hanging="357"/>
              <w:jc w:val="both"/>
              <w:rPr>
                <w:rFonts w:ascii="Calibri" w:eastAsia="Times New Roman" w:hAnsi="Calibri" w:cs="Calibri"/>
                <w:lang w:eastAsia="pl-PL"/>
              </w:rPr>
            </w:pPr>
            <w:r w:rsidRPr="009917E3">
              <w:rPr>
                <w:rFonts w:ascii="Calibri" w:eastAsia="Times New Roman" w:hAnsi="Calibri" w:cs="Calibri"/>
                <w:lang w:eastAsia="pl-PL"/>
              </w:rPr>
              <w:t xml:space="preserve">Koordynator MDR – w zakresie, w jakim dokonuje weryfikacji </w:t>
            </w:r>
            <w:r w:rsidR="00053F3E" w:rsidRPr="009917E3">
              <w:rPr>
                <w:rFonts w:ascii="Calibri" w:eastAsia="Times New Roman" w:hAnsi="Calibri" w:cs="Calibri"/>
                <w:lang w:eastAsia="pl-PL"/>
              </w:rPr>
              <w:t>zapytań Pracowników</w:t>
            </w:r>
            <w:r w:rsidRPr="009917E3">
              <w:rPr>
                <w:rFonts w:ascii="Calibri" w:eastAsia="Times New Roman" w:hAnsi="Calibri" w:cs="Calibri"/>
                <w:lang w:eastAsia="pl-PL"/>
              </w:rPr>
              <w:t>, a także w zakresie sporządzania informacji dla Szefa KAS</w:t>
            </w:r>
            <w:r w:rsidR="00A3205F" w:rsidRPr="009917E3">
              <w:rPr>
                <w:rFonts w:ascii="Calibri" w:eastAsia="Times New Roman" w:hAnsi="Calibri" w:cs="Calibri"/>
                <w:lang w:eastAsia="pl-PL"/>
              </w:rPr>
              <w:t>;</w:t>
            </w:r>
          </w:p>
          <w:p w14:paraId="77544021" w14:textId="77777777" w:rsidR="006A2A46" w:rsidRPr="009917E3" w:rsidRDefault="006A2A46" w:rsidP="006A2A46">
            <w:pPr>
              <w:numPr>
                <w:ilvl w:val="0"/>
                <w:numId w:val="9"/>
              </w:numPr>
              <w:spacing w:after="0" w:line="276" w:lineRule="auto"/>
              <w:ind w:left="641" w:hanging="357"/>
              <w:jc w:val="both"/>
              <w:rPr>
                <w:rFonts w:ascii="Calibri" w:eastAsia="Times New Roman" w:hAnsi="Calibri" w:cs="Calibri"/>
                <w:lang w:eastAsia="pl-PL"/>
              </w:rPr>
            </w:pPr>
            <w:r w:rsidRPr="009917E3">
              <w:rPr>
                <w:rFonts w:ascii="Calibri" w:eastAsia="Times New Roman" w:hAnsi="Calibri" w:cs="Calibri"/>
                <w:lang w:eastAsia="pl-PL"/>
              </w:rPr>
              <w:t xml:space="preserve"> </w:t>
            </w:r>
            <w:r w:rsidR="00053F3E" w:rsidRPr="009917E3">
              <w:rPr>
                <w:rFonts w:ascii="Calibri" w:eastAsia="Times New Roman" w:hAnsi="Calibri" w:cs="Calibri"/>
                <w:lang w:eastAsia="pl-PL"/>
              </w:rPr>
              <w:t xml:space="preserve">Archiwizator MDR </w:t>
            </w:r>
            <w:r w:rsidRPr="009917E3">
              <w:rPr>
                <w:rFonts w:ascii="Calibri" w:eastAsia="Times New Roman" w:hAnsi="Calibri" w:cs="Calibri"/>
                <w:lang w:eastAsia="pl-PL"/>
              </w:rPr>
              <w:t xml:space="preserve"> w</w:t>
            </w:r>
            <w:r w:rsidR="00726720" w:rsidRPr="009917E3">
              <w:rPr>
                <w:rFonts w:ascii="Calibri" w:eastAsia="Times New Roman" w:hAnsi="Calibri" w:cs="Calibri"/>
                <w:lang w:eastAsia="pl-PL"/>
              </w:rPr>
              <w:t> </w:t>
            </w:r>
            <w:r w:rsidRPr="009917E3">
              <w:rPr>
                <w:rFonts w:ascii="Calibri" w:eastAsia="Times New Roman" w:hAnsi="Calibri" w:cs="Calibri"/>
                <w:lang w:eastAsia="pl-PL"/>
              </w:rPr>
              <w:t xml:space="preserve"> zakresie prowadzenia BSP</w:t>
            </w:r>
            <w:r w:rsidR="00053F3E" w:rsidRPr="009917E3">
              <w:rPr>
                <w:rFonts w:ascii="Calibri" w:eastAsia="Times New Roman" w:hAnsi="Calibri" w:cs="Calibri"/>
                <w:lang w:eastAsia="pl-PL"/>
              </w:rPr>
              <w:t xml:space="preserve"> oraz w zakresie uzyskania podpisu osoby upoważnionej do reprezentowania Gminy na informacjach do Szefa KAS oraz </w:t>
            </w:r>
            <w:r w:rsidR="00A3205F" w:rsidRPr="009917E3">
              <w:rPr>
                <w:rFonts w:ascii="Calibri" w:eastAsia="Times New Roman" w:hAnsi="Calibri" w:cs="Calibri"/>
                <w:lang w:eastAsia="pl-PL"/>
              </w:rPr>
              <w:t xml:space="preserve">technicznego </w:t>
            </w:r>
            <w:r w:rsidR="00053F3E" w:rsidRPr="009917E3">
              <w:rPr>
                <w:rFonts w:ascii="Calibri" w:eastAsia="Times New Roman" w:hAnsi="Calibri" w:cs="Calibri"/>
                <w:lang w:eastAsia="pl-PL"/>
              </w:rPr>
              <w:t xml:space="preserve">wsparcia </w:t>
            </w:r>
            <w:r w:rsidR="00A3205F" w:rsidRPr="009917E3">
              <w:rPr>
                <w:rFonts w:ascii="Calibri" w:eastAsia="Times New Roman" w:hAnsi="Calibri" w:cs="Calibri"/>
                <w:lang w:eastAsia="pl-PL"/>
              </w:rPr>
              <w:t xml:space="preserve">tej osoby </w:t>
            </w:r>
            <w:r w:rsidR="00053F3E" w:rsidRPr="009917E3">
              <w:rPr>
                <w:rFonts w:ascii="Calibri" w:eastAsia="Times New Roman" w:hAnsi="Calibri" w:cs="Calibri"/>
                <w:lang w:eastAsia="pl-PL"/>
              </w:rPr>
              <w:t>w złożeniu tych informacji</w:t>
            </w:r>
            <w:r w:rsidRPr="009917E3">
              <w:rPr>
                <w:rFonts w:ascii="Calibri" w:eastAsia="Times New Roman" w:hAnsi="Calibri" w:cs="Calibri"/>
                <w:lang w:eastAsia="pl-PL"/>
              </w:rPr>
              <w:t>;</w:t>
            </w:r>
          </w:p>
          <w:p w14:paraId="762D1C9C" w14:textId="77777777" w:rsidR="006A2A46" w:rsidRPr="009917E3" w:rsidRDefault="006A2A46" w:rsidP="006A2A46">
            <w:pPr>
              <w:numPr>
                <w:ilvl w:val="0"/>
                <w:numId w:val="9"/>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Osoba upoważniona do reprezentowania </w:t>
            </w:r>
            <w:r w:rsidR="00C311CC" w:rsidRPr="009917E3">
              <w:rPr>
                <w:rFonts w:ascii="Calibri" w:eastAsia="Times New Roman" w:hAnsi="Calibri" w:cs="Calibri"/>
                <w:lang w:eastAsia="pl-PL"/>
              </w:rPr>
              <w:t>Gminy</w:t>
            </w:r>
            <w:r w:rsidRPr="009917E3">
              <w:rPr>
                <w:rFonts w:ascii="Calibri" w:eastAsia="Times New Roman" w:hAnsi="Calibri" w:cs="Calibri"/>
                <w:lang w:eastAsia="pl-PL"/>
              </w:rPr>
              <w:t xml:space="preserve"> – w</w:t>
            </w:r>
            <w:r w:rsidR="00726720" w:rsidRPr="009917E3">
              <w:rPr>
                <w:rFonts w:ascii="Calibri" w:eastAsia="Times New Roman" w:hAnsi="Calibri" w:cs="Calibri"/>
                <w:lang w:eastAsia="pl-PL"/>
              </w:rPr>
              <w:t> </w:t>
            </w:r>
            <w:r w:rsidRPr="009917E3">
              <w:rPr>
                <w:rFonts w:ascii="Calibri" w:eastAsia="Times New Roman" w:hAnsi="Calibri" w:cs="Calibri"/>
                <w:lang w:eastAsia="pl-PL"/>
              </w:rPr>
              <w:t xml:space="preserve"> zakresie przekazywania informacji Szefowi KAS w</w:t>
            </w:r>
            <w:r w:rsidR="00726720" w:rsidRPr="009917E3">
              <w:rPr>
                <w:rFonts w:ascii="Calibri" w:eastAsia="Times New Roman" w:hAnsi="Calibri" w:cs="Calibri"/>
                <w:lang w:eastAsia="pl-PL"/>
              </w:rPr>
              <w:t> </w:t>
            </w:r>
            <w:r w:rsidRPr="009917E3">
              <w:rPr>
                <w:rFonts w:ascii="Calibri" w:eastAsia="Times New Roman" w:hAnsi="Calibri" w:cs="Calibri"/>
                <w:lang w:eastAsia="pl-PL"/>
              </w:rPr>
              <w:t xml:space="preserve"> ustawowym terminie oraz w zakresie innych obowiązków informacyjnych przewidzianych w</w:t>
            </w:r>
            <w:r w:rsidR="00726720" w:rsidRPr="009917E3">
              <w:rPr>
                <w:rFonts w:ascii="Calibri" w:eastAsia="Times New Roman" w:hAnsi="Calibri" w:cs="Calibri"/>
                <w:lang w:eastAsia="pl-PL"/>
              </w:rPr>
              <w:t> </w:t>
            </w:r>
            <w:r w:rsidRPr="009917E3">
              <w:rPr>
                <w:rFonts w:ascii="Calibri" w:eastAsia="Times New Roman" w:hAnsi="Calibri" w:cs="Calibri"/>
                <w:lang w:eastAsia="pl-PL"/>
              </w:rPr>
              <w:t xml:space="preserve"> rozdziale 11a Ordynacji Podatkowej.</w:t>
            </w:r>
          </w:p>
          <w:p w14:paraId="3BAF78CB" w14:textId="77777777" w:rsidR="006A2A46" w:rsidRPr="009917E3" w:rsidRDefault="006A2A46" w:rsidP="00726720">
            <w:pPr>
              <w:numPr>
                <w:ilvl w:val="0"/>
                <w:numId w:val="3"/>
              </w:numPr>
              <w:spacing w:after="0" w:line="276" w:lineRule="auto"/>
              <w:ind w:left="319" w:hanging="319"/>
              <w:jc w:val="both"/>
              <w:rPr>
                <w:rFonts w:ascii="Calibri" w:eastAsia="Times New Roman" w:hAnsi="Calibri" w:cs="Times New Roman"/>
                <w:lang w:eastAsia="pl-PL"/>
              </w:rPr>
            </w:pPr>
            <w:r w:rsidRPr="009917E3">
              <w:rPr>
                <w:rFonts w:ascii="Calibri" w:eastAsia="Times New Roman" w:hAnsi="Calibri" w:cs="Calibri"/>
                <w:szCs w:val="16"/>
                <w:u w:val="single"/>
                <w:lang w:eastAsia="pl-PL"/>
              </w:rPr>
              <w:t>Każdorazowo</w:t>
            </w:r>
            <w:r w:rsidRPr="009917E3">
              <w:rPr>
                <w:rFonts w:ascii="Calibri" w:eastAsia="Times New Roman" w:hAnsi="Calibri" w:cs="Calibri"/>
                <w:u w:val="single"/>
                <w:lang w:eastAsia="pl-PL"/>
              </w:rPr>
              <w:t>, w razie wątpliwości, Pracownicy zwracają się do Koordynatora MDR celem ich wyjaśnienia</w:t>
            </w:r>
            <w:r w:rsidRPr="009917E3">
              <w:rPr>
                <w:rFonts w:ascii="Calibri" w:eastAsia="Times New Roman" w:hAnsi="Calibri" w:cs="Calibri"/>
                <w:lang w:eastAsia="pl-PL"/>
              </w:rPr>
              <w:t>.</w:t>
            </w:r>
          </w:p>
        </w:tc>
      </w:tr>
      <w:tr w:rsidR="0057434B" w:rsidRPr="006A2A46" w14:paraId="3DAC6F86" w14:textId="77777777" w:rsidTr="00C9005D">
        <w:tblPrEx>
          <w:tblCellMar>
            <w:left w:w="108" w:type="dxa"/>
            <w:right w:w="108" w:type="dxa"/>
          </w:tblCellMar>
        </w:tblPrEx>
        <w:tc>
          <w:tcPr>
            <w:tcW w:w="10915" w:type="dxa"/>
            <w:gridSpan w:val="5"/>
            <w:shd w:val="clear" w:color="auto" w:fill="F4B083" w:themeFill="accent2" w:themeFillTint="99"/>
          </w:tcPr>
          <w:p w14:paraId="57178DEC" w14:textId="6B1CD1D2" w:rsidR="0057434B" w:rsidRPr="009917E3" w:rsidRDefault="0057434B" w:rsidP="00653372">
            <w:pPr>
              <w:keepNext/>
              <w:spacing w:after="0" w:line="276" w:lineRule="auto"/>
              <w:jc w:val="center"/>
              <w:outlineLvl w:val="0"/>
              <w:rPr>
                <w:rFonts w:ascii="Calibri" w:eastAsia="Times New Roman" w:hAnsi="Calibri" w:cs="Calibri"/>
                <w:b/>
                <w:bCs/>
                <w:color w:val="000000"/>
                <w:kern w:val="32"/>
                <w:sz w:val="32"/>
                <w:szCs w:val="32"/>
                <w:lang w:eastAsia="x-none"/>
              </w:rPr>
            </w:pPr>
            <w:bookmarkStart w:id="2" w:name="_Toc43289577"/>
            <w:bookmarkStart w:id="3" w:name="_Toc65505161"/>
            <w:r w:rsidRPr="009917E3">
              <w:rPr>
                <w:rFonts w:ascii="Calibri" w:eastAsia="Times New Roman" w:hAnsi="Calibri" w:cs="Calibri"/>
                <w:b/>
                <w:bCs/>
                <w:color w:val="000000"/>
                <w:kern w:val="32"/>
                <w:sz w:val="32"/>
                <w:szCs w:val="32"/>
                <w:lang w:eastAsia="x-none"/>
              </w:rPr>
              <w:t>PROCES 1A</w:t>
            </w:r>
            <w:r w:rsidRPr="009917E3">
              <w:rPr>
                <w:rFonts w:eastAsia="Times New Roman" w:cstheme="minorHAnsi"/>
                <w:b/>
                <w:bCs/>
                <w:color w:val="000000"/>
                <w:kern w:val="32"/>
                <w:sz w:val="32"/>
                <w:szCs w:val="32"/>
                <w:lang w:eastAsia="x-none"/>
              </w:rPr>
              <w:t xml:space="preserve">: </w:t>
            </w:r>
            <w:r w:rsidRPr="009917E3">
              <w:rPr>
                <w:rStyle w:val="Nagwek1Znak"/>
                <w:rFonts w:ascii="Calibri" w:eastAsiaTheme="minorHAnsi" w:hAnsi="Calibri" w:cstheme="minorHAnsi"/>
              </w:rPr>
              <w:t xml:space="preserve">Identyfikacja </w:t>
            </w:r>
            <w:r w:rsidRPr="009917E3">
              <w:rPr>
                <w:rStyle w:val="Nagwek1Znak"/>
                <w:rFonts w:asciiTheme="minorHAnsi" w:eastAsiaTheme="minorHAnsi" w:hAnsiTheme="minorHAnsi" w:cstheme="minorHAnsi"/>
              </w:rPr>
              <w:t xml:space="preserve">obowiązków raportowych </w:t>
            </w:r>
            <w:r w:rsidR="00E86678" w:rsidRPr="009917E3">
              <w:rPr>
                <w:rStyle w:val="Nagwek1Znak"/>
                <w:rFonts w:asciiTheme="minorHAnsi" w:eastAsiaTheme="minorHAnsi" w:hAnsiTheme="minorHAnsi" w:cstheme="minorHAnsi"/>
                <w:lang w:val="pl-PL"/>
              </w:rPr>
              <w:t>Gminy</w:t>
            </w:r>
            <w:r w:rsidRPr="009917E3">
              <w:rPr>
                <w:rStyle w:val="Nagwek1Znak"/>
                <w:rFonts w:asciiTheme="minorHAnsi" w:eastAsiaTheme="minorHAnsi" w:hAnsiTheme="minorHAnsi" w:cstheme="minorHAnsi"/>
              </w:rPr>
              <w:t xml:space="preserve"> – Promotora</w:t>
            </w:r>
            <w:bookmarkEnd w:id="2"/>
            <w:bookmarkEnd w:id="3"/>
          </w:p>
        </w:tc>
      </w:tr>
      <w:tr w:rsidR="0057434B" w:rsidRPr="006A2A46" w14:paraId="5A741223" w14:textId="77777777" w:rsidTr="0057434B">
        <w:tblPrEx>
          <w:tblCellMar>
            <w:left w:w="108" w:type="dxa"/>
            <w:right w:w="108" w:type="dxa"/>
          </w:tblCellMar>
        </w:tblPrEx>
        <w:tc>
          <w:tcPr>
            <w:tcW w:w="2379" w:type="dxa"/>
            <w:gridSpan w:val="2"/>
            <w:shd w:val="clear" w:color="auto" w:fill="auto"/>
          </w:tcPr>
          <w:p w14:paraId="1B3F4AE3" w14:textId="77777777" w:rsidR="0057434B" w:rsidRPr="009917E3" w:rsidRDefault="0057434B" w:rsidP="0057434B">
            <w:pPr>
              <w:widowControl w:val="0"/>
              <w:autoSpaceDE w:val="0"/>
              <w:autoSpaceDN w:val="0"/>
              <w:adjustRightInd w:val="0"/>
              <w:spacing w:after="0"/>
              <w:rPr>
                <w:rFonts w:cstheme="minorHAnsi"/>
                <w:bCs/>
                <w:iCs/>
              </w:rPr>
            </w:pPr>
            <w:r w:rsidRPr="009917E3">
              <w:rPr>
                <w:rFonts w:cstheme="minorHAnsi"/>
                <w:bCs/>
                <w:iCs/>
              </w:rPr>
              <w:t xml:space="preserve">1.Wstępna weryfikacja, w przypadkach, w których </w:t>
            </w:r>
            <w:r w:rsidR="00E86678" w:rsidRPr="009917E3">
              <w:rPr>
                <w:rFonts w:cstheme="minorHAnsi"/>
                <w:bCs/>
                <w:iCs/>
              </w:rPr>
              <w:t>Gmina</w:t>
            </w:r>
            <w:r w:rsidRPr="009917E3">
              <w:rPr>
                <w:rFonts w:cstheme="minorHAnsi"/>
                <w:bCs/>
                <w:iCs/>
              </w:rPr>
              <w:t xml:space="preserve"> może </w:t>
            </w:r>
          </w:p>
          <w:p w14:paraId="6628ACD2" w14:textId="77777777" w:rsidR="0057434B" w:rsidRPr="009917E3" w:rsidRDefault="0057434B" w:rsidP="0057434B">
            <w:pPr>
              <w:widowControl w:val="0"/>
              <w:autoSpaceDE w:val="0"/>
              <w:autoSpaceDN w:val="0"/>
              <w:adjustRightInd w:val="0"/>
              <w:spacing w:after="0"/>
              <w:rPr>
                <w:rFonts w:cstheme="minorHAnsi"/>
                <w:bCs/>
                <w:iCs/>
              </w:rPr>
            </w:pPr>
            <w:r w:rsidRPr="009917E3">
              <w:rPr>
                <w:rFonts w:cstheme="minorHAnsi"/>
                <w:bCs/>
                <w:iCs/>
              </w:rPr>
              <w:t xml:space="preserve">wystąpić w roli </w:t>
            </w:r>
            <w:r w:rsidRPr="009917E3">
              <w:rPr>
                <w:rFonts w:cstheme="minorHAnsi"/>
                <w:b/>
                <w:bCs/>
                <w:iCs/>
              </w:rPr>
              <w:t>Promotora</w:t>
            </w:r>
            <w:r w:rsidRPr="009917E3">
              <w:rPr>
                <w:rFonts w:cstheme="minorHAnsi"/>
                <w:bCs/>
                <w:iCs/>
              </w:rPr>
              <w:t xml:space="preserve"> </w:t>
            </w:r>
          </w:p>
          <w:p w14:paraId="417AE3A2" w14:textId="77777777" w:rsidR="0057434B" w:rsidRPr="009917E3" w:rsidRDefault="0057434B" w:rsidP="0057434B">
            <w:pPr>
              <w:keepNext/>
              <w:spacing w:after="0" w:line="276" w:lineRule="auto"/>
              <w:outlineLvl w:val="0"/>
              <w:rPr>
                <w:rFonts w:ascii="Calibri" w:eastAsia="Times New Roman" w:hAnsi="Calibri" w:cs="Calibri"/>
                <w:b/>
                <w:bCs/>
                <w:color w:val="000000"/>
                <w:kern w:val="32"/>
                <w:sz w:val="32"/>
                <w:szCs w:val="32"/>
                <w:lang w:eastAsia="x-none"/>
              </w:rPr>
            </w:pPr>
          </w:p>
        </w:tc>
        <w:tc>
          <w:tcPr>
            <w:tcW w:w="8536" w:type="dxa"/>
            <w:gridSpan w:val="3"/>
            <w:shd w:val="clear" w:color="auto" w:fill="auto"/>
          </w:tcPr>
          <w:p w14:paraId="227B948C"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 xml:space="preserve">W przypadku w szczególności umów/zdarzeń/inwestycji/rozliczeń podatkowych, które mogłyby potencjalnie mieć związek z obowiązkami z zakresu MDR, Koordynator MDR </w:t>
            </w:r>
            <w:r w:rsidR="00A3205F" w:rsidRPr="009917E3">
              <w:rPr>
                <w:rFonts w:cstheme="minorHAnsi"/>
              </w:rPr>
              <w:t xml:space="preserve">(na prośbę odpowiedniego Pracownika) </w:t>
            </w:r>
            <w:r w:rsidRPr="009917E3">
              <w:rPr>
                <w:rFonts w:cstheme="minorHAnsi"/>
              </w:rPr>
              <w:t xml:space="preserve">lub odpowiednio Główny Księgowy Jednostki (w zależności od „miejsca zaistnienia” </w:t>
            </w:r>
            <w:r w:rsidRPr="009917E3">
              <w:rPr>
                <w:rFonts w:cstheme="minorHAnsi"/>
                <w:u w:val="single"/>
              </w:rPr>
              <w:t>umów/zdarzeń/inwestycji/rozliczeń podatkowych</w:t>
            </w:r>
            <w:r w:rsidRPr="009917E3">
              <w:rPr>
                <w:rFonts w:cstheme="minorHAnsi"/>
              </w:rPr>
              <w:t xml:space="preserve">) niezwłocznie wstępnie weryfikuje, czy zgodnie z posiadanymi informacjami, Kontrahent spełnia Kryterium Kwalifikowanego Korzystającego. </w:t>
            </w:r>
          </w:p>
          <w:p w14:paraId="79FE7867"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lastRenderedPageBreak/>
              <w:t xml:space="preserve">Poprzez posiadane informacje rozumie się w szczególności informacje pozyskane w toku weryfikacji sytuacji finansowej Kontrahenta (w tym podmiotów z nim powiązanych) w ramach współpracy z Kontrahentem, jak również dane zebrane w systemach </w:t>
            </w:r>
            <w:r w:rsidR="00C311CC" w:rsidRPr="009917E3">
              <w:rPr>
                <w:rFonts w:cstheme="minorHAnsi"/>
              </w:rPr>
              <w:t>Gminy</w:t>
            </w:r>
            <w:r w:rsidRPr="009917E3">
              <w:rPr>
                <w:rFonts w:cstheme="minorHAnsi"/>
              </w:rPr>
              <w:t xml:space="preserve">. </w:t>
            </w:r>
          </w:p>
          <w:p w14:paraId="325DF471"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Dodatkowo, w przypadku gdy na podstawie posiadanych przez</w:t>
            </w:r>
            <w:r w:rsidR="00C311CC" w:rsidRPr="009917E3">
              <w:rPr>
                <w:rFonts w:cstheme="minorHAnsi"/>
              </w:rPr>
              <w:t xml:space="preserve"> Gminę</w:t>
            </w:r>
            <w:r w:rsidRPr="009917E3">
              <w:rPr>
                <w:rFonts w:cstheme="minorHAnsi"/>
              </w:rPr>
              <w:t xml:space="preserve"> informacji, nie będzie możliwe racjonalne przyjęcie, że Kryterium Kwalifikowanego Korzystającego zostało spełnione, Koordynator MDR </w:t>
            </w:r>
            <w:r w:rsidR="00A3205F" w:rsidRPr="009917E3">
              <w:rPr>
                <w:rFonts w:cstheme="minorHAnsi"/>
              </w:rPr>
              <w:t xml:space="preserve">(na prośbę odpowiedniego Pracownika) </w:t>
            </w:r>
            <w:r w:rsidRPr="009917E3">
              <w:rPr>
                <w:rFonts w:cstheme="minorHAnsi"/>
              </w:rPr>
              <w:t xml:space="preserve">niezwłocznie wystąpi do Kontrahenta z prośbą o wydanie oświadczenia dotyczącego spełnienia Kryterium Kwalifikowanego Korzystającego. </w:t>
            </w:r>
          </w:p>
          <w:p w14:paraId="5977519D"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W przypadku braku otrzymania powyższego oświadczenia w terminie 7 dni od dnia wystąpienia przez</w:t>
            </w:r>
            <w:r w:rsidR="00C311CC" w:rsidRPr="009917E3">
              <w:rPr>
                <w:rFonts w:cstheme="minorHAnsi"/>
              </w:rPr>
              <w:t xml:space="preserve"> Gminę</w:t>
            </w:r>
            <w:r w:rsidRPr="009917E3">
              <w:rPr>
                <w:rFonts w:cstheme="minorHAnsi"/>
              </w:rPr>
              <w:t xml:space="preserve"> o dostarczenie ww. oświadczenia, przyjmuje się, że kryterium Kwalifikowanego Korzystającego zostało spełnione. </w:t>
            </w:r>
          </w:p>
          <w:p w14:paraId="5182E793"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 xml:space="preserve">W przypadku, gdy ze wstępnej weryfikacji wynika, że przedmiot umów/zdarzeń/inwestycji/rozliczeń podatkowych nie stanowi Schematu Podatkowego, </w:t>
            </w:r>
            <w:r w:rsidR="00A3205F" w:rsidRPr="009917E3">
              <w:rPr>
                <w:rFonts w:cstheme="minorHAnsi"/>
              </w:rPr>
              <w:t>Archiwizator</w:t>
            </w:r>
            <w:r w:rsidRPr="009917E3">
              <w:rPr>
                <w:rFonts w:cstheme="minorHAnsi"/>
              </w:rPr>
              <w:t xml:space="preserve"> MDR archiwizuje wynik weryfikacji (</w:t>
            </w:r>
            <w:r w:rsidRPr="003158E3">
              <w:rPr>
                <w:rFonts w:cstheme="minorHAnsi"/>
              </w:rPr>
              <w:t xml:space="preserve">uzyskany od </w:t>
            </w:r>
            <w:r w:rsidR="00A3205F" w:rsidRPr="003158E3">
              <w:rPr>
                <w:rFonts w:cstheme="minorHAnsi"/>
              </w:rPr>
              <w:t xml:space="preserve">Koordynatora MDR lub od </w:t>
            </w:r>
            <w:r w:rsidRPr="003158E3">
              <w:rPr>
                <w:rFonts w:cstheme="minorHAnsi"/>
              </w:rPr>
              <w:t>Głównego Księgowego Jednostki)</w:t>
            </w:r>
            <w:r w:rsidRPr="009917E3">
              <w:rPr>
                <w:rFonts w:cstheme="minorHAnsi"/>
              </w:rPr>
              <w:t xml:space="preserve"> w bazie BSP.</w:t>
            </w:r>
          </w:p>
          <w:p w14:paraId="25FACFB1" w14:textId="5718DBB9"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W przypadku, gdy Uzgodnienie może stanowić Schemat Podatkowy,</w:t>
            </w:r>
            <w:r w:rsidR="009C3EA6">
              <w:rPr>
                <w:rFonts w:cstheme="minorHAnsi"/>
              </w:rPr>
              <w:t xml:space="preserve"> </w:t>
            </w:r>
            <w:r w:rsidR="009C3EA6" w:rsidRPr="00123EE5">
              <w:rPr>
                <w:rFonts w:cstheme="minorHAnsi"/>
              </w:rPr>
              <w:t>pracownik</w:t>
            </w:r>
            <w:r w:rsidRPr="00123EE5">
              <w:rPr>
                <w:rFonts w:cstheme="minorHAnsi"/>
              </w:rPr>
              <w:t xml:space="preserve"> </w:t>
            </w:r>
            <w:r w:rsidRPr="009917E3">
              <w:rPr>
                <w:rFonts w:cstheme="minorHAnsi"/>
              </w:rPr>
              <w:t>lub odpowiednio Główny Księgowy Jednostki niezwłocznie przygotowuje wszelkie niezbędne informacje o Schemacie Podatkowym, zgodnie ze wzorem określonym w załączniku nr 3. Gdy informacje są przygotowywane</w:t>
            </w:r>
            <w:r w:rsidR="00123EE5" w:rsidRPr="00123EE5">
              <w:rPr>
                <w:rFonts w:cstheme="minorHAnsi"/>
              </w:rPr>
              <w:t>,</w:t>
            </w:r>
            <w:r w:rsidR="004B2979" w:rsidRPr="00123EE5">
              <w:rPr>
                <w:rFonts w:cstheme="minorHAnsi"/>
              </w:rPr>
              <w:t xml:space="preserve"> pracownik lub odpowiednio Główny Księgowy Jednostki, przekazują</w:t>
            </w:r>
            <w:r w:rsidRPr="00123EE5">
              <w:rPr>
                <w:rFonts w:cstheme="minorHAnsi"/>
              </w:rPr>
              <w:t xml:space="preserve"> niezwłocznie powyższe</w:t>
            </w:r>
            <w:r w:rsidRPr="009917E3">
              <w:rPr>
                <w:rFonts w:cstheme="minorHAnsi"/>
              </w:rPr>
              <w:t xml:space="preserve"> dane na adres</w:t>
            </w:r>
            <w:r w:rsidR="00FD4A8E" w:rsidRPr="009917E3">
              <w:rPr>
                <w:rFonts w:cstheme="minorHAnsi"/>
              </w:rPr>
              <w:t>y</w:t>
            </w:r>
            <w:r w:rsidRPr="009917E3">
              <w:rPr>
                <w:rFonts w:cstheme="minorHAnsi"/>
              </w:rPr>
              <w:t xml:space="preserve"> e-mail Koordynatora MDR</w:t>
            </w:r>
            <w:r w:rsidR="00FD4A8E" w:rsidRPr="009917E3">
              <w:rPr>
                <w:rFonts w:cstheme="minorHAnsi"/>
              </w:rPr>
              <w:t xml:space="preserve"> oraz Archiwizatora MDR</w:t>
            </w:r>
            <w:r w:rsidRPr="009917E3">
              <w:rPr>
                <w:rFonts w:cstheme="minorHAnsi"/>
              </w:rPr>
              <w:t>.</w:t>
            </w:r>
          </w:p>
          <w:p w14:paraId="21FE7240" w14:textId="77777777" w:rsidR="0057434B" w:rsidRPr="009917E3" w:rsidRDefault="00C311CC" w:rsidP="0057434B">
            <w:pPr>
              <w:pStyle w:val="Akapitzlist"/>
              <w:numPr>
                <w:ilvl w:val="0"/>
                <w:numId w:val="24"/>
              </w:numPr>
              <w:spacing w:after="0" w:line="276" w:lineRule="auto"/>
              <w:jc w:val="both"/>
              <w:rPr>
                <w:rFonts w:cstheme="minorHAnsi"/>
              </w:rPr>
            </w:pPr>
            <w:r w:rsidRPr="009917E3">
              <w:rPr>
                <w:rFonts w:cstheme="minorHAnsi"/>
              </w:rPr>
              <w:t>Gmina</w:t>
            </w:r>
            <w:r w:rsidR="0057434B" w:rsidRPr="009917E3">
              <w:rPr>
                <w:rFonts w:cstheme="minorHAnsi"/>
              </w:rPr>
              <w:t xml:space="preserve"> może występować w roli Promotora również w przypadku udostępniania Schematu Podatkowego podmiotom ze „struktur”</w:t>
            </w:r>
            <w:r w:rsidRPr="009917E3">
              <w:rPr>
                <w:rFonts w:cstheme="minorHAnsi"/>
              </w:rPr>
              <w:t xml:space="preserve"> Gminy</w:t>
            </w:r>
            <w:r w:rsidR="0057434B" w:rsidRPr="009917E3">
              <w:rPr>
                <w:rFonts w:cstheme="minorHAnsi"/>
              </w:rPr>
              <w:t>, tj. instytucji kultury i/lub spółce komunalnej.</w:t>
            </w:r>
          </w:p>
          <w:p w14:paraId="3971B686" w14:textId="77777777" w:rsidR="0057434B" w:rsidRPr="009917E3" w:rsidRDefault="0057434B" w:rsidP="0057434B">
            <w:pPr>
              <w:pStyle w:val="Akapitzlist"/>
              <w:numPr>
                <w:ilvl w:val="0"/>
                <w:numId w:val="24"/>
              </w:numPr>
              <w:spacing w:after="0" w:line="276" w:lineRule="auto"/>
              <w:jc w:val="both"/>
              <w:rPr>
                <w:rFonts w:cstheme="minorHAnsi"/>
              </w:rPr>
            </w:pPr>
            <w:r w:rsidRPr="009917E3">
              <w:rPr>
                <w:rFonts w:cstheme="minorHAnsi"/>
              </w:rPr>
              <w:t xml:space="preserve">W szczególności, </w:t>
            </w:r>
            <w:r w:rsidR="00C311CC" w:rsidRPr="009917E3">
              <w:rPr>
                <w:rFonts w:cstheme="minorHAnsi"/>
              </w:rPr>
              <w:t>Gmina</w:t>
            </w:r>
            <w:r w:rsidRPr="009917E3">
              <w:rPr>
                <w:rFonts w:cstheme="minorHAnsi"/>
              </w:rPr>
              <w:t xml:space="preserve"> występuje w roli Promotora w przypadku dalszego udostępnienia Schematu Podatkowego opracowanego na potrzeby </w:t>
            </w:r>
            <w:r w:rsidR="00C311CC" w:rsidRPr="009917E3">
              <w:rPr>
                <w:rFonts w:cstheme="minorHAnsi"/>
              </w:rPr>
              <w:t>Gminy</w:t>
            </w:r>
            <w:r w:rsidRPr="009917E3">
              <w:rPr>
                <w:rFonts w:cstheme="minorHAnsi"/>
              </w:rPr>
              <w:t xml:space="preserve"> na rzecz jakichkolwiek innych podmiotów.</w:t>
            </w:r>
          </w:p>
        </w:tc>
      </w:tr>
      <w:tr w:rsidR="0057434B" w:rsidRPr="006A2A46" w14:paraId="470C9819" w14:textId="77777777" w:rsidTr="00C9005D">
        <w:tblPrEx>
          <w:tblCellMar>
            <w:left w:w="108" w:type="dxa"/>
            <w:right w:w="108" w:type="dxa"/>
          </w:tblCellMar>
        </w:tblPrEx>
        <w:tc>
          <w:tcPr>
            <w:tcW w:w="10915" w:type="dxa"/>
            <w:gridSpan w:val="5"/>
            <w:shd w:val="clear" w:color="auto" w:fill="F4B083" w:themeFill="accent2" w:themeFillTint="99"/>
          </w:tcPr>
          <w:p w14:paraId="31E8B24A" w14:textId="56C81E0C" w:rsidR="0057434B" w:rsidRPr="009917E3" w:rsidRDefault="0057434B" w:rsidP="00653372">
            <w:pPr>
              <w:keepNext/>
              <w:spacing w:after="0" w:line="276" w:lineRule="auto"/>
              <w:jc w:val="center"/>
              <w:outlineLvl w:val="0"/>
              <w:rPr>
                <w:rFonts w:ascii="Calibri" w:eastAsia="Times New Roman" w:hAnsi="Calibri" w:cs="Calibri"/>
                <w:b/>
                <w:bCs/>
                <w:color w:val="000000"/>
                <w:kern w:val="32"/>
                <w:sz w:val="32"/>
                <w:szCs w:val="32"/>
                <w:lang w:eastAsia="x-none"/>
              </w:rPr>
            </w:pPr>
            <w:bookmarkStart w:id="4" w:name="_Toc43289578"/>
            <w:bookmarkStart w:id="5" w:name="_Toc65505162"/>
            <w:r w:rsidRPr="009917E3">
              <w:rPr>
                <w:rFonts w:ascii="Calibri" w:eastAsia="Times New Roman" w:hAnsi="Calibri" w:cs="Calibri"/>
                <w:b/>
                <w:bCs/>
                <w:color w:val="000000"/>
                <w:kern w:val="32"/>
                <w:sz w:val="32"/>
                <w:szCs w:val="32"/>
                <w:lang w:eastAsia="x-none"/>
              </w:rPr>
              <w:lastRenderedPageBreak/>
              <w:t xml:space="preserve">PROCES 1B: </w:t>
            </w:r>
            <w:r w:rsidRPr="009917E3">
              <w:rPr>
                <w:rFonts w:ascii="Calibri" w:eastAsia="Times New Roman" w:hAnsi="Calibri" w:cs="Calibri"/>
                <w:b/>
                <w:bCs/>
                <w:color w:val="000000"/>
                <w:kern w:val="32"/>
                <w:sz w:val="32"/>
                <w:szCs w:val="32"/>
                <w:lang w:val="x-none" w:eastAsia="x-none"/>
              </w:rPr>
              <w:t xml:space="preserve">Identyfikacja obowiązków raportowych </w:t>
            </w:r>
            <w:r w:rsidR="00E86678" w:rsidRPr="009917E3">
              <w:rPr>
                <w:rFonts w:ascii="Calibri" w:eastAsia="Times New Roman" w:hAnsi="Calibri" w:cs="Calibri"/>
                <w:b/>
                <w:bCs/>
                <w:color w:val="000000"/>
                <w:kern w:val="32"/>
                <w:sz w:val="32"/>
                <w:szCs w:val="32"/>
                <w:lang w:eastAsia="x-none"/>
              </w:rPr>
              <w:t>Gminy</w:t>
            </w:r>
            <w:r w:rsidRPr="009917E3">
              <w:rPr>
                <w:rFonts w:ascii="Calibri" w:eastAsia="Times New Roman" w:hAnsi="Calibri" w:cs="Calibri"/>
                <w:b/>
                <w:bCs/>
                <w:color w:val="000000"/>
                <w:kern w:val="32"/>
                <w:sz w:val="32"/>
                <w:szCs w:val="32"/>
                <w:lang w:val="x-none" w:eastAsia="x-none"/>
              </w:rPr>
              <w:t xml:space="preserve"> - W</w:t>
            </w:r>
            <w:r w:rsidRPr="009917E3">
              <w:rPr>
                <w:rFonts w:ascii="Calibri" w:eastAsia="Times New Roman" w:hAnsi="Calibri" w:cs="Calibri"/>
                <w:b/>
                <w:bCs/>
                <w:color w:val="000000"/>
                <w:kern w:val="32"/>
                <w:sz w:val="32"/>
                <w:szCs w:val="32"/>
                <w:lang w:eastAsia="x-none"/>
              </w:rPr>
              <w:t>spomagającego</w:t>
            </w:r>
            <w:bookmarkEnd w:id="4"/>
            <w:bookmarkEnd w:id="5"/>
          </w:p>
        </w:tc>
      </w:tr>
      <w:tr w:rsidR="0057434B" w:rsidRPr="006A2A46" w14:paraId="4C135146" w14:textId="77777777" w:rsidTr="00997930">
        <w:tblPrEx>
          <w:tblCellMar>
            <w:left w:w="108" w:type="dxa"/>
            <w:right w:w="108" w:type="dxa"/>
          </w:tblCellMar>
        </w:tblPrEx>
        <w:tc>
          <w:tcPr>
            <w:tcW w:w="2408" w:type="dxa"/>
            <w:gridSpan w:val="3"/>
            <w:shd w:val="clear" w:color="auto" w:fill="auto"/>
          </w:tcPr>
          <w:p w14:paraId="4933E168" w14:textId="77777777" w:rsidR="0057434B" w:rsidRPr="009917E3" w:rsidRDefault="0057434B" w:rsidP="0057434B">
            <w:pPr>
              <w:widowControl w:val="0"/>
              <w:autoSpaceDE w:val="0"/>
              <w:autoSpaceDN w:val="0"/>
              <w:adjustRightInd w:val="0"/>
              <w:spacing w:after="0"/>
              <w:rPr>
                <w:rFonts w:cstheme="minorHAnsi"/>
                <w:b/>
                <w:bCs/>
                <w:iCs/>
              </w:rPr>
            </w:pPr>
            <w:r w:rsidRPr="009917E3">
              <w:rPr>
                <w:rFonts w:cstheme="minorHAnsi"/>
                <w:bCs/>
                <w:iCs/>
              </w:rPr>
              <w:t xml:space="preserve">1.  Wstępna weryfikacja, w przypadkach, w których </w:t>
            </w:r>
            <w:r w:rsidR="00C311CC" w:rsidRPr="009917E3">
              <w:rPr>
                <w:rFonts w:cstheme="minorHAnsi"/>
                <w:bCs/>
                <w:iCs/>
              </w:rPr>
              <w:t>Gmina</w:t>
            </w:r>
            <w:r w:rsidRPr="009917E3">
              <w:rPr>
                <w:rFonts w:cstheme="minorHAnsi"/>
                <w:bCs/>
                <w:iCs/>
              </w:rPr>
              <w:t xml:space="preserve"> może wystąpić w roli </w:t>
            </w:r>
            <w:r w:rsidRPr="009917E3">
              <w:rPr>
                <w:rFonts w:cstheme="minorHAnsi"/>
                <w:b/>
                <w:bCs/>
                <w:iCs/>
              </w:rPr>
              <w:t>Wspomagającego</w:t>
            </w:r>
          </w:p>
          <w:p w14:paraId="665B22F4" w14:textId="77777777" w:rsidR="0057434B" w:rsidRPr="009917E3" w:rsidRDefault="0057434B" w:rsidP="0057434B">
            <w:pPr>
              <w:keepNext/>
              <w:spacing w:after="0" w:line="276" w:lineRule="auto"/>
              <w:outlineLvl w:val="0"/>
              <w:rPr>
                <w:rFonts w:ascii="Calibri" w:eastAsia="Times New Roman" w:hAnsi="Calibri" w:cs="Calibri"/>
                <w:b/>
                <w:bCs/>
                <w:color w:val="000000"/>
                <w:kern w:val="32"/>
                <w:sz w:val="32"/>
                <w:szCs w:val="32"/>
                <w:lang w:eastAsia="x-none"/>
              </w:rPr>
            </w:pPr>
          </w:p>
        </w:tc>
        <w:tc>
          <w:tcPr>
            <w:tcW w:w="8507" w:type="dxa"/>
            <w:gridSpan w:val="2"/>
            <w:shd w:val="clear" w:color="auto" w:fill="auto"/>
          </w:tcPr>
          <w:p w14:paraId="5158D21E" w14:textId="77777777" w:rsidR="0057434B" w:rsidRPr="009917E3" w:rsidRDefault="0057434B" w:rsidP="0057434B">
            <w:pPr>
              <w:pStyle w:val="Akapitzlist"/>
              <w:numPr>
                <w:ilvl w:val="0"/>
                <w:numId w:val="25"/>
              </w:numPr>
              <w:spacing w:after="0" w:line="276" w:lineRule="auto"/>
              <w:jc w:val="both"/>
              <w:rPr>
                <w:rFonts w:cstheme="minorHAnsi"/>
              </w:rPr>
            </w:pPr>
            <w:r w:rsidRPr="009917E3">
              <w:rPr>
                <w:rFonts w:cstheme="minorHAnsi"/>
              </w:rPr>
              <w:t xml:space="preserve">W przypadku w szczególności umów/zdarzeń/inwestycji/rozliczeń podatkowych, które mogłaby potencjalnie mieć związek z obowiązkami z zakresu MDR, Koordynator MDR </w:t>
            </w:r>
            <w:r w:rsidR="00FD4A8E" w:rsidRPr="009917E3">
              <w:rPr>
                <w:rFonts w:cstheme="minorHAnsi"/>
              </w:rPr>
              <w:t xml:space="preserve">(na wniosek odpowiedniego Pracownika) </w:t>
            </w:r>
            <w:r w:rsidRPr="009917E3">
              <w:rPr>
                <w:rFonts w:cstheme="minorHAnsi"/>
              </w:rPr>
              <w:t>lub odpowiednio Główny Księgowy Jednostki (w zależności od „miejsca zaistnienia” umów/zdarzeń/inwestycji/rozliczeń podatkowych), wstępnie weryfikuje czy może wystąpić Schemat Podatkowy.</w:t>
            </w:r>
          </w:p>
          <w:p w14:paraId="57819CD1" w14:textId="77777777" w:rsidR="0057434B" w:rsidRPr="009917E3" w:rsidRDefault="0057434B" w:rsidP="0057434B">
            <w:pPr>
              <w:pStyle w:val="Akapitzlist"/>
              <w:numPr>
                <w:ilvl w:val="0"/>
                <w:numId w:val="25"/>
              </w:numPr>
              <w:spacing w:after="0" w:line="276" w:lineRule="auto"/>
              <w:jc w:val="both"/>
              <w:rPr>
                <w:rFonts w:cstheme="minorHAnsi"/>
              </w:rPr>
            </w:pPr>
            <w:r w:rsidRPr="009917E3">
              <w:rPr>
                <w:rFonts w:cstheme="minorHAnsi"/>
              </w:rPr>
              <w:t xml:space="preserve">W przypadku, gdy ze wstępnej weryfikacji wynika, że nie ma miejsca Schemat Podatkowy, </w:t>
            </w:r>
            <w:r w:rsidR="00FD4A8E" w:rsidRPr="009917E3">
              <w:rPr>
                <w:rFonts w:cstheme="minorHAnsi"/>
              </w:rPr>
              <w:t xml:space="preserve">Archiwizator </w:t>
            </w:r>
            <w:r w:rsidRPr="009917E3">
              <w:rPr>
                <w:rFonts w:cstheme="minorHAnsi"/>
              </w:rPr>
              <w:t xml:space="preserve"> MDR archiwizuje wynik weryfikacji (uzyskany od </w:t>
            </w:r>
            <w:r w:rsidR="00FD4A8E" w:rsidRPr="009917E3">
              <w:rPr>
                <w:rFonts w:cstheme="minorHAnsi"/>
              </w:rPr>
              <w:t xml:space="preserve">Koordynatora MDR lub od </w:t>
            </w:r>
            <w:r w:rsidRPr="009917E3">
              <w:rPr>
                <w:rFonts w:cstheme="minorHAnsi"/>
              </w:rPr>
              <w:t>Głównego Księgowego Jednostki) w BSP.</w:t>
            </w:r>
          </w:p>
          <w:p w14:paraId="2269E88D" w14:textId="28B72CB3" w:rsidR="0057434B" w:rsidRPr="009917E3" w:rsidRDefault="0057434B" w:rsidP="00FD4A8E">
            <w:pPr>
              <w:pStyle w:val="Akapitzlist"/>
              <w:numPr>
                <w:ilvl w:val="0"/>
                <w:numId w:val="27"/>
              </w:numPr>
              <w:spacing w:after="0" w:line="276" w:lineRule="auto"/>
              <w:jc w:val="both"/>
              <w:rPr>
                <w:rFonts w:cstheme="minorHAnsi"/>
              </w:rPr>
            </w:pPr>
            <w:r w:rsidRPr="009917E3">
              <w:rPr>
                <w:rFonts w:cstheme="minorHAnsi"/>
              </w:rPr>
              <w:t xml:space="preserve">W przypadku, gdy Uzgodnienie może stanowić Schemat Podatkowy, </w:t>
            </w:r>
            <w:r w:rsidR="004B2979" w:rsidRPr="00123EE5">
              <w:rPr>
                <w:rFonts w:cstheme="minorHAnsi"/>
              </w:rPr>
              <w:t xml:space="preserve">pracownik </w:t>
            </w:r>
            <w:r w:rsidR="00123EE5">
              <w:rPr>
                <w:rFonts w:cstheme="minorHAnsi"/>
              </w:rPr>
              <w:t>lub</w:t>
            </w:r>
            <w:r w:rsidRPr="00123EE5">
              <w:rPr>
                <w:rFonts w:cstheme="minorHAnsi"/>
              </w:rPr>
              <w:t xml:space="preserve"> odpowiednio Główny Księgowy Jednostki niezwłoczni</w:t>
            </w:r>
            <w:r w:rsidRPr="009917E3">
              <w:rPr>
                <w:rFonts w:cstheme="minorHAnsi"/>
              </w:rPr>
              <w:t>e przygotowuje</w:t>
            </w:r>
            <w:r w:rsidRPr="00123EE5">
              <w:rPr>
                <w:rFonts w:cstheme="minorHAnsi"/>
              </w:rPr>
              <w:t xml:space="preserve"> wszelkie niezbędne informacje o Schemacie Podatkowym. Gdy informacje są</w:t>
            </w:r>
            <w:r w:rsidR="004B2979" w:rsidRPr="00123EE5">
              <w:rPr>
                <w:rFonts w:cstheme="minorHAnsi"/>
              </w:rPr>
              <w:t xml:space="preserve"> przygotowywane </w:t>
            </w:r>
            <w:r w:rsidR="00123EE5" w:rsidRPr="00123EE5">
              <w:rPr>
                <w:rFonts w:cstheme="minorHAnsi"/>
              </w:rPr>
              <w:t xml:space="preserve">, </w:t>
            </w:r>
            <w:r w:rsidR="004B2979" w:rsidRPr="00123EE5">
              <w:rPr>
                <w:rFonts w:cstheme="minorHAnsi"/>
              </w:rPr>
              <w:t>pracownik lub odpowiednio Główny Księgowy Jednostki, przekazuje</w:t>
            </w:r>
            <w:r w:rsidRPr="00123EE5">
              <w:rPr>
                <w:rFonts w:cstheme="minorHAnsi"/>
              </w:rPr>
              <w:t xml:space="preserve"> </w:t>
            </w:r>
            <w:r w:rsidRPr="009917E3">
              <w:rPr>
                <w:rFonts w:cstheme="minorHAnsi"/>
              </w:rPr>
              <w:t>niezwłocznie powyższe dane na adres</w:t>
            </w:r>
            <w:r w:rsidR="00FD4A8E" w:rsidRPr="009917E3">
              <w:rPr>
                <w:rFonts w:cstheme="minorHAnsi"/>
              </w:rPr>
              <w:t>y</w:t>
            </w:r>
            <w:r w:rsidRPr="009917E3">
              <w:rPr>
                <w:rFonts w:cstheme="minorHAnsi"/>
              </w:rPr>
              <w:t xml:space="preserve"> e-mail Koordynatora MDR</w:t>
            </w:r>
            <w:r w:rsidR="00FD4A8E" w:rsidRPr="009917E3">
              <w:rPr>
                <w:rFonts w:cstheme="minorHAnsi"/>
              </w:rPr>
              <w:t xml:space="preserve"> oraz Archiwizatora MDR.</w:t>
            </w:r>
          </w:p>
          <w:p w14:paraId="540B2EE8" w14:textId="77777777" w:rsidR="0057434B" w:rsidRPr="009917E3" w:rsidRDefault="00C311CC" w:rsidP="0057434B">
            <w:pPr>
              <w:pStyle w:val="Akapitzlist"/>
              <w:numPr>
                <w:ilvl w:val="0"/>
                <w:numId w:val="27"/>
              </w:numPr>
              <w:spacing w:after="0" w:line="276" w:lineRule="auto"/>
              <w:jc w:val="both"/>
              <w:rPr>
                <w:rFonts w:cstheme="minorHAnsi"/>
              </w:rPr>
            </w:pPr>
            <w:r w:rsidRPr="009917E3">
              <w:rPr>
                <w:rFonts w:cstheme="minorHAnsi"/>
              </w:rPr>
              <w:t>Gmina</w:t>
            </w:r>
            <w:r w:rsidR="0057434B" w:rsidRPr="009917E3">
              <w:rPr>
                <w:rFonts w:cstheme="minorHAnsi"/>
              </w:rPr>
              <w:t xml:space="preserve"> może występować w roli Wspomagającego również w przypadku realizacji Schematu Podatkowego u podmiotu ze „struktur” </w:t>
            </w:r>
            <w:r w:rsidRPr="009917E3">
              <w:rPr>
                <w:rFonts w:cstheme="minorHAnsi"/>
              </w:rPr>
              <w:t>Gminy</w:t>
            </w:r>
            <w:r w:rsidR="0057434B" w:rsidRPr="009917E3">
              <w:rPr>
                <w:rFonts w:cstheme="minorHAnsi"/>
              </w:rPr>
              <w:t>, tj. instytucji kultury i/lub spółki komunalnej.</w:t>
            </w:r>
          </w:p>
        </w:tc>
      </w:tr>
      <w:tr w:rsidR="0057434B" w:rsidRPr="006A2A46" w14:paraId="55C9C45E" w14:textId="77777777" w:rsidTr="00C9005D">
        <w:tblPrEx>
          <w:tblCellMar>
            <w:left w:w="108" w:type="dxa"/>
            <w:right w:w="108" w:type="dxa"/>
          </w:tblCellMar>
        </w:tblPrEx>
        <w:tc>
          <w:tcPr>
            <w:tcW w:w="10915" w:type="dxa"/>
            <w:gridSpan w:val="5"/>
            <w:shd w:val="clear" w:color="auto" w:fill="F4B083" w:themeFill="accent2" w:themeFillTint="99"/>
          </w:tcPr>
          <w:p w14:paraId="1C21BFDA" w14:textId="595AD980" w:rsidR="0057434B" w:rsidRPr="009917E3" w:rsidRDefault="0057434B" w:rsidP="00653372">
            <w:pPr>
              <w:keepNext/>
              <w:spacing w:after="0" w:line="276" w:lineRule="auto"/>
              <w:jc w:val="center"/>
              <w:outlineLvl w:val="0"/>
              <w:rPr>
                <w:rFonts w:ascii="Calibri" w:eastAsia="Times New Roman" w:hAnsi="Calibri" w:cs="Calibri"/>
                <w:b/>
                <w:bCs/>
                <w:color w:val="000000"/>
                <w:kern w:val="32"/>
                <w:sz w:val="24"/>
                <w:szCs w:val="24"/>
                <w:lang w:val="x-none" w:eastAsia="x-none"/>
              </w:rPr>
            </w:pPr>
            <w:bookmarkStart w:id="6" w:name="_Toc65505163"/>
            <w:r w:rsidRPr="009917E3">
              <w:rPr>
                <w:rFonts w:ascii="Calibri" w:eastAsia="Times New Roman" w:hAnsi="Calibri" w:cs="Calibri"/>
                <w:b/>
                <w:bCs/>
                <w:color w:val="000000"/>
                <w:kern w:val="32"/>
                <w:sz w:val="32"/>
                <w:szCs w:val="32"/>
                <w:lang w:eastAsia="x-none"/>
              </w:rPr>
              <w:lastRenderedPageBreak/>
              <w:t xml:space="preserve">PROCES </w:t>
            </w:r>
            <w:r w:rsidRPr="009917E3">
              <w:rPr>
                <w:rFonts w:ascii="Calibri" w:eastAsia="Times New Roman" w:hAnsi="Calibri" w:cs="Calibri"/>
                <w:b/>
                <w:bCs/>
                <w:color w:val="000000"/>
                <w:kern w:val="32"/>
                <w:sz w:val="32"/>
                <w:szCs w:val="32"/>
                <w:lang w:val="x-none" w:eastAsia="x-none"/>
              </w:rPr>
              <w:t>1</w:t>
            </w:r>
            <w:r w:rsidRPr="009917E3">
              <w:rPr>
                <w:rFonts w:ascii="Calibri" w:eastAsia="Times New Roman" w:hAnsi="Calibri" w:cs="Calibri"/>
                <w:b/>
                <w:bCs/>
                <w:color w:val="000000"/>
                <w:kern w:val="32"/>
                <w:sz w:val="32"/>
                <w:szCs w:val="32"/>
                <w:lang w:eastAsia="x-none"/>
              </w:rPr>
              <w:t>C</w:t>
            </w:r>
            <w:r w:rsidRPr="009917E3">
              <w:rPr>
                <w:rFonts w:ascii="Calibri" w:eastAsia="Times New Roman" w:hAnsi="Calibri" w:cs="Calibri"/>
                <w:b/>
                <w:bCs/>
                <w:color w:val="000000"/>
                <w:kern w:val="32"/>
                <w:sz w:val="32"/>
                <w:szCs w:val="32"/>
                <w:lang w:val="x-none" w:eastAsia="x-none"/>
              </w:rPr>
              <w:t xml:space="preserve">: Identyfikacja obowiązków raportowych </w:t>
            </w:r>
            <w:r w:rsidR="00E86678" w:rsidRPr="009917E3">
              <w:rPr>
                <w:rFonts w:ascii="Calibri" w:eastAsia="Times New Roman" w:hAnsi="Calibri" w:cs="Calibri"/>
                <w:b/>
                <w:bCs/>
                <w:color w:val="000000"/>
                <w:kern w:val="32"/>
                <w:sz w:val="32"/>
                <w:szCs w:val="32"/>
                <w:lang w:eastAsia="x-none"/>
              </w:rPr>
              <w:t>Gminy</w:t>
            </w:r>
            <w:r w:rsidRPr="009917E3">
              <w:rPr>
                <w:rFonts w:ascii="Calibri" w:eastAsia="Times New Roman" w:hAnsi="Calibri" w:cs="Calibri"/>
                <w:b/>
                <w:bCs/>
                <w:color w:val="000000"/>
                <w:kern w:val="32"/>
                <w:sz w:val="32"/>
                <w:szCs w:val="32"/>
                <w:lang w:val="x-none" w:eastAsia="x-none"/>
              </w:rPr>
              <w:t xml:space="preserve"> - Korzystającego</w:t>
            </w:r>
            <w:bookmarkEnd w:id="6"/>
          </w:p>
        </w:tc>
      </w:tr>
      <w:tr w:rsidR="0057434B" w:rsidRPr="006A2A46" w14:paraId="54E95220" w14:textId="77777777" w:rsidTr="00997930">
        <w:tblPrEx>
          <w:tblCellMar>
            <w:left w:w="108" w:type="dxa"/>
            <w:right w:w="108" w:type="dxa"/>
          </w:tblCellMar>
        </w:tblPrEx>
        <w:trPr>
          <w:trHeight w:val="670"/>
        </w:trPr>
        <w:tc>
          <w:tcPr>
            <w:tcW w:w="2408" w:type="dxa"/>
            <w:gridSpan w:val="3"/>
            <w:shd w:val="clear" w:color="auto" w:fill="auto"/>
          </w:tcPr>
          <w:p w14:paraId="387F3080" w14:textId="77777777" w:rsidR="0057434B" w:rsidRPr="009917E3" w:rsidRDefault="0057434B" w:rsidP="0057434B">
            <w:pPr>
              <w:widowControl w:val="0"/>
              <w:autoSpaceDE w:val="0"/>
              <w:autoSpaceDN w:val="0"/>
              <w:adjustRightInd w:val="0"/>
              <w:spacing w:after="0" w:line="276" w:lineRule="auto"/>
              <w:rPr>
                <w:rFonts w:ascii="Calibri" w:eastAsia="Times New Roman" w:hAnsi="Calibri" w:cs="Calibri"/>
                <w:lang w:eastAsia="pl-PL"/>
              </w:rPr>
            </w:pPr>
            <w:r w:rsidRPr="009917E3">
              <w:rPr>
                <w:rFonts w:ascii="Calibri" w:eastAsia="Times New Roman" w:hAnsi="Calibri" w:cs="Calibri"/>
                <w:lang w:eastAsia="pl-PL"/>
              </w:rPr>
              <w:t>1.</w:t>
            </w:r>
            <w:bookmarkStart w:id="7" w:name="_Toc532227567"/>
            <w:r w:rsidRPr="009917E3">
              <w:rPr>
                <w:rFonts w:ascii="Calibri" w:eastAsia="Times New Roman" w:hAnsi="Calibri" w:cs="Calibri"/>
                <w:lang w:eastAsia="pl-PL"/>
              </w:rPr>
              <w:t xml:space="preserve"> </w:t>
            </w:r>
            <w:bookmarkEnd w:id="7"/>
            <w:r w:rsidRPr="009917E3">
              <w:rPr>
                <w:rFonts w:ascii="Calibri" w:eastAsia="Times New Roman" w:hAnsi="Calibri" w:cs="Calibri"/>
                <w:noProof/>
                <w:lang w:eastAsia="pl-PL"/>
              </w:rPr>
              <w:t xml:space="preserve">Wstępna weryfikacja dla Uzgodnień wykorzystywanych przez </w:t>
            </w:r>
            <w:r w:rsidR="00C311CC" w:rsidRPr="009917E3">
              <w:rPr>
                <w:rFonts w:ascii="Calibri" w:eastAsia="Times New Roman" w:hAnsi="Calibri" w:cs="Calibri"/>
                <w:noProof/>
                <w:lang w:eastAsia="pl-PL"/>
              </w:rPr>
              <w:t>Gminę</w:t>
            </w:r>
            <w:r w:rsidRPr="009917E3">
              <w:rPr>
                <w:rFonts w:ascii="Calibri" w:eastAsia="Times New Roman" w:hAnsi="Calibri" w:cs="Calibri"/>
                <w:noProof/>
                <w:lang w:eastAsia="pl-PL"/>
              </w:rPr>
              <w:t xml:space="preserve"> występującą w roli </w:t>
            </w:r>
            <w:r w:rsidRPr="009917E3">
              <w:rPr>
                <w:rFonts w:ascii="Calibri" w:eastAsia="Times New Roman" w:hAnsi="Calibri" w:cs="Calibri"/>
                <w:b/>
                <w:noProof/>
                <w:lang w:eastAsia="pl-PL"/>
              </w:rPr>
              <w:t>Korzystajacego</w:t>
            </w:r>
          </w:p>
          <w:p w14:paraId="02747CFD" w14:textId="77777777" w:rsidR="0057434B" w:rsidRPr="009917E3" w:rsidRDefault="0057434B" w:rsidP="0057434B">
            <w:pPr>
              <w:widowControl w:val="0"/>
              <w:autoSpaceDE w:val="0"/>
              <w:autoSpaceDN w:val="0"/>
              <w:adjustRightInd w:val="0"/>
              <w:spacing w:after="0" w:line="276" w:lineRule="auto"/>
              <w:rPr>
                <w:rFonts w:ascii="Calibri" w:eastAsia="Times New Roman" w:hAnsi="Calibri" w:cs="Calibri"/>
                <w:lang w:eastAsia="pl-PL"/>
              </w:rPr>
            </w:pPr>
          </w:p>
        </w:tc>
        <w:tc>
          <w:tcPr>
            <w:tcW w:w="8507" w:type="dxa"/>
            <w:gridSpan w:val="2"/>
            <w:shd w:val="clear" w:color="auto" w:fill="auto"/>
          </w:tcPr>
          <w:p w14:paraId="49EBAB42" w14:textId="77777777" w:rsidR="0057434B" w:rsidRPr="009917E3" w:rsidRDefault="0057434B" w:rsidP="0057434B">
            <w:pPr>
              <w:numPr>
                <w:ilvl w:val="0"/>
                <w:numId w:val="14"/>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Każdorazowo w przypadku w szczególności umów/zdarzeń/inwestycji/rozliczeń podatkowych, mogących mieć potencjalnie związek z obowiązkami z zakresu MDR, Koordynator MDR </w:t>
            </w:r>
            <w:r w:rsidR="00FD4A8E" w:rsidRPr="009917E3">
              <w:rPr>
                <w:rFonts w:ascii="Calibri" w:eastAsia="Times New Roman" w:hAnsi="Calibri" w:cs="Calibri"/>
                <w:lang w:eastAsia="pl-PL"/>
              </w:rPr>
              <w:t xml:space="preserve">(na prośbę odpowiedniego Pracownika) </w:t>
            </w:r>
            <w:r w:rsidRPr="009917E3">
              <w:rPr>
                <w:rFonts w:ascii="Calibri" w:eastAsia="Times New Roman" w:hAnsi="Calibri" w:cs="Calibri"/>
                <w:lang w:eastAsia="pl-PL"/>
              </w:rPr>
              <w:t>lub odpowiednio Główny Księgowy Jednostki, dokonuje weryfikacji, czy dane Uzgodnienie stanowi Schemat Podatkowy.</w:t>
            </w:r>
          </w:p>
          <w:p w14:paraId="7115E967" w14:textId="5E28FAF9" w:rsidR="0057434B" w:rsidRPr="009917E3" w:rsidRDefault="0057434B" w:rsidP="0057434B">
            <w:pPr>
              <w:numPr>
                <w:ilvl w:val="0"/>
                <w:numId w:val="20"/>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 xml:space="preserve">Jeżeli weryfikacja wskaże, że dane Uzgodnienie stanowi Schemat Podatkowy, </w:t>
            </w:r>
            <w:r w:rsidR="001146DD" w:rsidRPr="00123EE5">
              <w:rPr>
                <w:rFonts w:ascii="Calibri" w:eastAsia="Times New Roman" w:hAnsi="Calibri" w:cs="Calibri"/>
                <w:lang w:eastAsia="pl-PL"/>
              </w:rPr>
              <w:t>pracownik</w:t>
            </w:r>
            <w:r w:rsidRPr="00123EE5">
              <w:rPr>
                <w:rFonts w:ascii="Calibri" w:eastAsia="Times New Roman" w:hAnsi="Calibri" w:cs="Calibri"/>
                <w:lang w:eastAsia="pl-PL"/>
              </w:rPr>
              <w:t xml:space="preserve"> lub odpowiednio Główny Księgowy Jednostki niezwłocznie przygotowuje wszelkie </w:t>
            </w:r>
            <w:r w:rsidRPr="009917E3">
              <w:rPr>
                <w:rFonts w:ascii="Calibri" w:eastAsia="Times New Roman" w:hAnsi="Calibri" w:cs="Calibri"/>
                <w:lang w:eastAsia="pl-PL"/>
              </w:rPr>
              <w:t xml:space="preserve">niezbędne informacje o Schemacie </w:t>
            </w:r>
            <w:r w:rsidRPr="00123EE5">
              <w:rPr>
                <w:rFonts w:ascii="Calibri" w:eastAsia="Times New Roman" w:hAnsi="Calibri" w:cs="Calibri"/>
                <w:lang w:eastAsia="pl-PL"/>
              </w:rPr>
              <w:t xml:space="preserve">Podatkowym. Gdy informacje są przygotowywane </w:t>
            </w:r>
            <w:r w:rsidR="001146DD" w:rsidRPr="00123EE5">
              <w:rPr>
                <w:rFonts w:cstheme="minorHAnsi"/>
              </w:rPr>
              <w:t>pracownik lub odpowiednio Główny Księgowy Jednostki</w:t>
            </w:r>
            <w:r w:rsidR="001146DD">
              <w:rPr>
                <w:rFonts w:ascii="Calibri" w:eastAsia="Times New Roman" w:hAnsi="Calibri" w:cs="Calibri"/>
                <w:lang w:eastAsia="pl-PL"/>
              </w:rPr>
              <w:t xml:space="preserve">, przekazuje </w:t>
            </w:r>
            <w:r w:rsidRPr="009917E3">
              <w:rPr>
                <w:rFonts w:ascii="Calibri" w:eastAsia="Times New Roman" w:hAnsi="Calibri" w:cs="Calibri"/>
                <w:lang w:eastAsia="pl-PL"/>
              </w:rPr>
              <w:t>niezwłocznie powyższe dane w formacie opisanym w załączniku nr 3 na adres</w:t>
            </w:r>
            <w:r w:rsidR="00FD4A8E" w:rsidRPr="009917E3">
              <w:rPr>
                <w:rFonts w:ascii="Calibri" w:eastAsia="Times New Roman" w:hAnsi="Calibri" w:cs="Calibri"/>
                <w:lang w:eastAsia="pl-PL"/>
              </w:rPr>
              <w:t>y</w:t>
            </w:r>
            <w:r w:rsidRPr="009917E3">
              <w:rPr>
                <w:rFonts w:ascii="Calibri" w:eastAsia="Times New Roman" w:hAnsi="Calibri" w:cs="Calibri"/>
                <w:lang w:eastAsia="pl-PL"/>
              </w:rPr>
              <w:t xml:space="preserve"> e-mail Koordynatora MDR</w:t>
            </w:r>
            <w:r w:rsidR="00FD4A8E" w:rsidRPr="009917E3">
              <w:rPr>
                <w:rFonts w:ascii="Calibri" w:eastAsia="Times New Roman" w:hAnsi="Calibri" w:cs="Calibri"/>
                <w:lang w:eastAsia="pl-PL"/>
              </w:rPr>
              <w:t xml:space="preserve"> oraz Archiwizatora MDR</w:t>
            </w:r>
            <w:r w:rsidRPr="009917E3">
              <w:rPr>
                <w:rFonts w:ascii="Calibri" w:eastAsia="Times New Roman" w:hAnsi="Calibri" w:cs="Calibri"/>
                <w:lang w:eastAsia="pl-PL"/>
              </w:rPr>
              <w:t>.</w:t>
            </w:r>
          </w:p>
          <w:p w14:paraId="70A810DF" w14:textId="77777777" w:rsidR="0057434B" w:rsidRPr="009917E3" w:rsidRDefault="0057434B" w:rsidP="00FD4A8E">
            <w:pPr>
              <w:numPr>
                <w:ilvl w:val="0"/>
                <w:numId w:val="20"/>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Pracownicy, a w szczególności kierownicy komórek organizacyjnych Urzędu oraz Główni Księgowi Jednostek, niezwłocznie zgłaszają Koordynatorowi MDR wszelkie działania związane z (planowanym) osiąganiem Korzyści i niezwłocznie przekazują mu dane i  informacje konieczne w celu sporządzenia informacji o Schemacie Podatkowym</w:t>
            </w:r>
            <w:r w:rsidRPr="009917E3" w:rsidDel="00B903E2">
              <w:rPr>
                <w:rFonts w:ascii="Calibri" w:eastAsia="Times New Roman" w:hAnsi="Calibri" w:cs="Calibri"/>
                <w:lang w:eastAsia="pl-PL"/>
              </w:rPr>
              <w:t xml:space="preserve"> </w:t>
            </w:r>
            <w:r w:rsidRPr="009917E3">
              <w:rPr>
                <w:rFonts w:ascii="Calibri" w:eastAsia="Times New Roman" w:hAnsi="Calibri" w:cs="Calibri"/>
                <w:lang w:eastAsia="pl-PL"/>
              </w:rPr>
              <w:t>w tym zakresie.</w:t>
            </w:r>
            <w:r w:rsidR="00FD4A8E" w:rsidRPr="009917E3">
              <w:rPr>
                <w:rFonts w:ascii="Calibri" w:eastAsia="Times New Roman" w:hAnsi="Calibri" w:cs="Calibri"/>
                <w:lang w:eastAsia="pl-PL"/>
              </w:rPr>
              <w:t xml:space="preserve"> Informacje są przekazywane na adresy e-mail Koordynatora MDR oraz Archiwizatora MDR.</w:t>
            </w:r>
          </w:p>
          <w:p w14:paraId="7A9C2FF9" w14:textId="77777777" w:rsidR="0057434B" w:rsidRPr="009917E3" w:rsidRDefault="0057434B" w:rsidP="0057434B">
            <w:pPr>
              <w:numPr>
                <w:ilvl w:val="0"/>
                <w:numId w:val="19"/>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 xml:space="preserve">Pracownicy niezwłocznie zgłaszają </w:t>
            </w:r>
            <w:r w:rsidR="00FD4A8E" w:rsidRPr="009917E3">
              <w:rPr>
                <w:rFonts w:ascii="Calibri" w:eastAsia="Times New Roman" w:hAnsi="Calibri" w:cs="Calibri"/>
                <w:lang w:eastAsia="pl-PL"/>
              </w:rPr>
              <w:t xml:space="preserve">(przedstawiając kopię umowy) </w:t>
            </w:r>
            <w:r w:rsidRPr="009917E3">
              <w:rPr>
                <w:rFonts w:ascii="Calibri" w:eastAsia="Times New Roman" w:hAnsi="Calibri" w:cs="Calibri"/>
                <w:lang w:eastAsia="pl-PL"/>
              </w:rPr>
              <w:t xml:space="preserve">Koordynatorowi MDR w szczególności informacje o  </w:t>
            </w:r>
            <w:r w:rsidR="00D06328" w:rsidRPr="009917E3">
              <w:rPr>
                <w:rFonts w:ascii="Calibri" w:eastAsia="Times New Roman" w:hAnsi="Calibri" w:cs="Calibri"/>
                <w:lang w:eastAsia="pl-PL"/>
              </w:rPr>
              <w:t xml:space="preserve">każdej </w:t>
            </w:r>
            <w:r w:rsidRPr="009917E3">
              <w:rPr>
                <w:rFonts w:ascii="Calibri" w:eastAsia="Times New Roman" w:hAnsi="Calibri" w:cs="Calibri"/>
                <w:lang w:eastAsia="pl-PL"/>
              </w:rPr>
              <w:t>umowie zawartej z doradcą podatkowym lub kancelarią prawną.</w:t>
            </w:r>
          </w:p>
        </w:tc>
      </w:tr>
      <w:tr w:rsidR="0057434B" w:rsidRPr="006A2A46" w14:paraId="2B64A706" w14:textId="77777777" w:rsidTr="00C9005D">
        <w:tblPrEx>
          <w:tblCellMar>
            <w:left w:w="108" w:type="dxa"/>
            <w:right w:w="108" w:type="dxa"/>
          </w:tblCellMar>
        </w:tblPrEx>
        <w:tc>
          <w:tcPr>
            <w:tcW w:w="10915" w:type="dxa"/>
            <w:gridSpan w:val="5"/>
            <w:shd w:val="clear" w:color="auto" w:fill="F4B083" w:themeFill="accent2" w:themeFillTint="99"/>
          </w:tcPr>
          <w:p w14:paraId="16007A68" w14:textId="73F3C647" w:rsidR="0057434B" w:rsidRPr="009917E3" w:rsidRDefault="0057434B" w:rsidP="0057434B">
            <w:pPr>
              <w:keepNext/>
              <w:spacing w:after="0" w:line="276" w:lineRule="auto"/>
              <w:ind w:left="1451" w:hanging="1451"/>
              <w:jc w:val="center"/>
              <w:outlineLvl w:val="0"/>
              <w:rPr>
                <w:rFonts w:ascii="Calibri" w:eastAsia="Times New Roman" w:hAnsi="Calibri" w:cs="Calibri"/>
                <w:b/>
                <w:bCs/>
                <w:color w:val="000000"/>
                <w:kern w:val="32"/>
                <w:sz w:val="32"/>
                <w:szCs w:val="32"/>
                <w:lang w:eastAsia="x-none"/>
              </w:rPr>
            </w:pPr>
            <w:bookmarkStart w:id="8" w:name="_Toc65505164"/>
            <w:r w:rsidRPr="009917E3">
              <w:rPr>
                <w:rFonts w:ascii="Calibri" w:eastAsia="Times New Roman" w:hAnsi="Calibri" w:cs="Calibri"/>
                <w:b/>
                <w:bCs/>
                <w:color w:val="000000"/>
                <w:kern w:val="32"/>
                <w:sz w:val="32"/>
                <w:szCs w:val="32"/>
                <w:lang w:eastAsia="x-none"/>
              </w:rPr>
              <w:t>PROCES</w:t>
            </w:r>
            <w:r w:rsidRPr="009917E3">
              <w:rPr>
                <w:rFonts w:ascii="Calibri" w:eastAsia="Times New Roman" w:hAnsi="Calibri" w:cs="Calibri"/>
                <w:b/>
                <w:bCs/>
                <w:color w:val="000000"/>
                <w:kern w:val="32"/>
                <w:sz w:val="32"/>
                <w:szCs w:val="32"/>
                <w:lang w:val="x-none" w:eastAsia="x-none"/>
              </w:rPr>
              <w:t xml:space="preserve"> 2</w:t>
            </w:r>
            <w:r w:rsidRPr="009917E3">
              <w:rPr>
                <w:rFonts w:ascii="Calibri" w:eastAsia="Times New Roman" w:hAnsi="Calibri" w:cs="Calibri"/>
                <w:b/>
                <w:bCs/>
                <w:color w:val="000000"/>
                <w:kern w:val="32"/>
                <w:sz w:val="32"/>
                <w:szCs w:val="32"/>
                <w:lang w:eastAsia="x-none"/>
              </w:rPr>
              <w:t>A</w:t>
            </w:r>
            <w:r w:rsidRPr="009917E3">
              <w:rPr>
                <w:rFonts w:ascii="Calibri" w:eastAsia="Times New Roman" w:hAnsi="Calibri" w:cs="Calibri"/>
                <w:b/>
                <w:bCs/>
                <w:color w:val="000000"/>
                <w:kern w:val="32"/>
                <w:sz w:val="32"/>
                <w:szCs w:val="32"/>
                <w:lang w:val="x-none" w:eastAsia="x-none"/>
              </w:rPr>
              <w:t xml:space="preserve">: Sposób postępowania w przypadku, gdy </w:t>
            </w:r>
            <w:r w:rsidR="00E86678" w:rsidRPr="009917E3">
              <w:rPr>
                <w:rFonts w:ascii="Calibri" w:eastAsia="Times New Roman" w:hAnsi="Calibri" w:cs="Calibri"/>
                <w:b/>
                <w:bCs/>
                <w:color w:val="000000"/>
                <w:kern w:val="32"/>
                <w:sz w:val="32"/>
                <w:szCs w:val="32"/>
                <w:lang w:eastAsia="x-none"/>
              </w:rPr>
              <w:t>Gmina</w:t>
            </w:r>
            <w:r w:rsidRPr="009917E3">
              <w:rPr>
                <w:rFonts w:ascii="Calibri" w:eastAsia="Times New Roman" w:hAnsi="Calibri" w:cs="Calibri"/>
                <w:b/>
                <w:bCs/>
                <w:color w:val="000000"/>
                <w:kern w:val="32"/>
                <w:sz w:val="32"/>
                <w:szCs w:val="32"/>
                <w:lang w:val="x-none" w:eastAsia="x-none"/>
              </w:rPr>
              <w:t xml:space="preserve"> występuje w roli </w:t>
            </w:r>
            <w:r w:rsidRPr="009917E3">
              <w:rPr>
                <w:rFonts w:ascii="Calibri" w:eastAsia="Times New Roman" w:hAnsi="Calibri" w:cs="Calibri"/>
                <w:b/>
                <w:bCs/>
                <w:color w:val="000000"/>
                <w:kern w:val="32"/>
                <w:sz w:val="32"/>
                <w:szCs w:val="32"/>
                <w:lang w:eastAsia="x-none"/>
              </w:rPr>
              <w:t>Promotora</w:t>
            </w:r>
            <w:bookmarkEnd w:id="8"/>
          </w:p>
        </w:tc>
      </w:tr>
      <w:tr w:rsidR="0057434B" w:rsidRPr="006A2A46" w14:paraId="71ACD59F" w14:textId="77777777" w:rsidTr="00997930">
        <w:tblPrEx>
          <w:tblCellMar>
            <w:left w:w="108" w:type="dxa"/>
            <w:right w:w="108" w:type="dxa"/>
          </w:tblCellMar>
        </w:tblPrEx>
        <w:tc>
          <w:tcPr>
            <w:tcW w:w="2359" w:type="dxa"/>
            <w:shd w:val="clear" w:color="auto" w:fill="auto"/>
          </w:tcPr>
          <w:p w14:paraId="4F685058" w14:textId="77777777" w:rsidR="0057434B" w:rsidRPr="009917E3" w:rsidRDefault="0057434B" w:rsidP="0057434B">
            <w:pPr>
              <w:widowControl w:val="0"/>
              <w:autoSpaceDE w:val="0"/>
              <w:autoSpaceDN w:val="0"/>
              <w:adjustRightInd w:val="0"/>
              <w:spacing w:after="0" w:line="276" w:lineRule="auto"/>
              <w:rPr>
                <w:rFonts w:ascii="Calibri" w:eastAsia="Times New Roman" w:hAnsi="Calibri" w:cs="Calibri"/>
                <w:lang w:eastAsia="pl-PL"/>
              </w:rPr>
            </w:pPr>
            <w:r w:rsidRPr="009917E3">
              <w:rPr>
                <w:rFonts w:ascii="Calibri" w:eastAsia="Times New Roman" w:hAnsi="Calibri" w:cs="Calibri"/>
                <w:lang w:eastAsia="pl-PL"/>
              </w:rPr>
              <w:t>1. Raportowanie w przypadku Schematów Podatkowych Standaryzowanych</w:t>
            </w:r>
          </w:p>
        </w:tc>
        <w:tc>
          <w:tcPr>
            <w:tcW w:w="8556" w:type="dxa"/>
            <w:gridSpan w:val="4"/>
            <w:shd w:val="clear" w:color="auto" w:fill="auto"/>
          </w:tcPr>
          <w:p w14:paraId="6FDF1E87" w14:textId="77777777"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 xml:space="preserve">W przypadku, gdy w wyniku wstępnej weryfikacji, o której mowa powyżej określi się rolę </w:t>
            </w:r>
            <w:r w:rsidR="00C311CC" w:rsidRPr="009917E3">
              <w:rPr>
                <w:rFonts w:cstheme="minorHAnsi"/>
              </w:rPr>
              <w:t>Gminy</w:t>
            </w:r>
            <w:r w:rsidRPr="009917E3">
              <w:rPr>
                <w:rFonts w:cstheme="minorHAnsi"/>
              </w:rPr>
              <w:t xml:space="preserve"> w danym Schemacie Podatkowym, jako Promotora, Koordynator MDR przygotowuje informacje oraz dane na potrzeby raportowania Schematów Podatkowych. Pracownicy mają obowiązek współdziałania z Koordynatorem MDR w tym zakresie. Wykaz informacji uzyskiwanych przez Koordynatora MDR został wskazany w załączniku nr 3 do niniejszej Procedury.</w:t>
            </w:r>
          </w:p>
          <w:p w14:paraId="5DA303B9" w14:textId="77777777"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Na podstawie powyższych danych i informacji Koordynator MDR sporządza Informację o Schemacie Podatkowym.</w:t>
            </w:r>
          </w:p>
          <w:p w14:paraId="51D2B296" w14:textId="43D3AF89"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 xml:space="preserve">Jeżeli w Schemacie Podatkowym występuje Promotor indywidualny, Informacja o Schemacie Podatkowym zawiera również dane (imię, nazwisko, zajmowane stanowisko) Promotora indywidualnego. </w:t>
            </w:r>
          </w:p>
          <w:p w14:paraId="1B1A114A" w14:textId="77777777"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 xml:space="preserve">Osoba upoważniona do reprezentacji we współpracy z </w:t>
            </w:r>
            <w:r w:rsidR="00AF5DE4" w:rsidRPr="009917E3">
              <w:rPr>
                <w:rFonts w:cstheme="minorHAnsi"/>
              </w:rPr>
              <w:t>Archiwizatorem</w:t>
            </w:r>
            <w:r w:rsidRPr="009917E3">
              <w:rPr>
                <w:rFonts w:cstheme="minorHAnsi"/>
              </w:rPr>
              <w:t xml:space="preserve"> MDR, podpisuje Informację o Schemacie Podatkowym i przesyła ją, w formie elektronicznej, do Szefa KAS nie później niż w terminie 30 dni od dnia następującego po Udostępnieniu, przygotowaniu do Wdrożenia lub od dnia dokonania pierwszej czynności związanej z Wdrażaniem Schematu Podatkowego (w zależności od tego, które z tych zdarzeń nastąpi wcześniej).</w:t>
            </w:r>
          </w:p>
          <w:p w14:paraId="521613D5" w14:textId="77777777" w:rsidR="0057434B" w:rsidRPr="009917E3" w:rsidRDefault="00B745DC" w:rsidP="0057434B">
            <w:pPr>
              <w:pStyle w:val="Akapitzlist"/>
              <w:numPr>
                <w:ilvl w:val="0"/>
                <w:numId w:val="28"/>
              </w:numPr>
              <w:spacing w:after="0" w:line="276" w:lineRule="auto"/>
              <w:contextualSpacing w:val="0"/>
              <w:jc w:val="both"/>
              <w:rPr>
                <w:rFonts w:cstheme="minorHAnsi"/>
              </w:rPr>
            </w:pPr>
            <w:r w:rsidRPr="009917E3">
              <w:rPr>
                <w:rFonts w:cstheme="minorHAnsi"/>
              </w:rPr>
              <w:t xml:space="preserve">Archiwizator  </w:t>
            </w:r>
            <w:r w:rsidR="0057434B" w:rsidRPr="009917E3">
              <w:rPr>
                <w:rFonts w:cstheme="minorHAnsi"/>
              </w:rPr>
              <w:t>MDR archiwizuje wysłaną Informację o Schemacie Podatkowym w BSP.</w:t>
            </w:r>
          </w:p>
          <w:p w14:paraId="3403A4F3" w14:textId="41B85B3F"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Koordynator MDR informuje pisemnie Kontrahenta (Korzystającego) o NSP Schematu Podatkowego, załączając potwierdzenie nadania NSP, niezwłocznie po jego otrzymaniu od Szefa KAS</w:t>
            </w:r>
            <w:r w:rsidR="00FB6F38">
              <w:rPr>
                <w:rFonts w:cstheme="minorHAnsi"/>
              </w:rPr>
              <w:t xml:space="preserve"> przez Gminę</w:t>
            </w:r>
            <w:r w:rsidRPr="009917E3">
              <w:rPr>
                <w:rFonts w:cstheme="minorHAnsi"/>
              </w:rPr>
              <w:t>.</w:t>
            </w:r>
          </w:p>
          <w:p w14:paraId="0ADBDE90" w14:textId="77777777"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lastRenderedPageBreak/>
              <w:t xml:space="preserve">Otrzymany NSP </w:t>
            </w:r>
            <w:r w:rsidR="00B745DC" w:rsidRPr="009917E3">
              <w:rPr>
                <w:rFonts w:cstheme="minorHAnsi"/>
              </w:rPr>
              <w:t>Archiwizator</w:t>
            </w:r>
            <w:r w:rsidRPr="009917E3">
              <w:rPr>
                <w:rFonts w:cstheme="minorHAnsi"/>
              </w:rPr>
              <w:t xml:space="preserve"> MDR archiwizuje w BSP.</w:t>
            </w:r>
          </w:p>
          <w:p w14:paraId="2FF5FD73" w14:textId="77777777" w:rsidR="0057434B" w:rsidRPr="009917E3" w:rsidRDefault="0057434B" w:rsidP="0057434B">
            <w:pPr>
              <w:pStyle w:val="Akapitzlist"/>
              <w:numPr>
                <w:ilvl w:val="0"/>
                <w:numId w:val="28"/>
              </w:numPr>
              <w:spacing w:after="0" w:line="276" w:lineRule="auto"/>
              <w:contextualSpacing w:val="0"/>
              <w:jc w:val="both"/>
              <w:rPr>
                <w:rFonts w:cstheme="minorHAnsi"/>
              </w:rPr>
            </w:pPr>
            <w:r w:rsidRPr="009917E3">
              <w:rPr>
                <w:rFonts w:cstheme="minorHAnsi"/>
              </w:rPr>
              <w:t>W przypadku, gdy w terminie o którym mowa powyżej, Schemat Podatkowy nie posiada jeszcze NSP, Koordynator MDR informuje o tym pisemnie Kontrahenta (Korzystającego) oraz przekazuje mu dane zawarte w Informacji o Schemacie Podatkowym.</w:t>
            </w:r>
          </w:p>
          <w:p w14:paraId="0B08F507" w14:textId="77777777" w:rsidR="0057434B" w:rsidRPr="009917E3" w:rsidRDefault="0057434B" w:rsidP="0057434B">
            <w:pPr>
              <w:pStyle w:val="Akapitzlist"/>
              <w:numPr>
                <w:ilvl w:val="0"/>
                <w:numId w:val="28"/>
              </w:numPr>
              <w:spacing w:after="0" w:line="276" w:lineRule="auto"/>
              <w:contextualSpacing w:val="0"/>
              <w:jc w:val="both"/>
              <w:rPr>
                <w:rFonts w:ascii="Calibri" w:eastAsia="Times New Roman" w:hAnsi="Calibri" w:cs="Calibri"/>
                <w:b/>
                <w:bCs/>
                <w:color w:val="000000"/>
                <w:kern w:val="32"/>
                <w:sz w:val="32"/>
                <w:szCs w:val="32"/>
                <w:lang w:eastAsia="x-none"/>
              </w:rPr>
            </w:pPr>
            <w:r w:rsidRPr="009917E3">
              <w:rPr>
                <w:rFonts w:cstheme="minorHAnsi"/>
              </w:rPr>
              <w:t xml:space="preserve">W przypadku, gdy informacja o danym Schemacie Podatkowym Standaryzowanym została już przekazana przez </w:t>
            </w:r>
            <w:r w:rsidR="00C311CC" w:rsidRPr="009917E3">
              <w:rPr>
                <w:rFonts w:cstheme="minorHAnsi"/>
              </w:rPr>
              <w:t>Gminę</w:t>
            </w:r>
            <w:r w:rsidRPr="009917E3">
              <w:rPr>
                <w:rFonts w:cstheme="minorHAnsi"/>
              </w:rPr>
              <w:t xml:space="preserve"> do Szefa KAS i </w:t>
            </w:r>
            <w:r w:rsidR="00C311CC" w:rsidRPr="009917E3">
              <w:rPr>
                <w:rFonts w:cstheme="minorHAnsi"/>
              </w:rPr>
              <w:t>Gmina</w:t>
            </w:r>
            <w:r w:rsidRPr="009917E3">
              <w:rPr>
                <w:rFonts w:cstheme="minorHAnsi"/>
              </w:rPr>
              <w:t xml:space="preserve"> uzyskał</w:t>
            </w:r>
            <w:r w:rsidR="00C311CC" w:rsidRPr="009917E3">
              <w:rPr>
                <w:rFonts w:cstheme="minorHAnsi"/>
              </w:rPr>
              <w:t>a</w:t>
            </w:r>
            <w:r w:rsidRPr="009917E3">
              <w:rPr>
                <w:rFonts w:cstheme="minorHAnsi"/>
              </w:rPr>
              <w:t xml:space="preserve"> NSP w odniesieniu do danego Schematu Podatkowego, w sytuacji kolejnego udostępniania tego samego Schematu Podatkowego, </w:t>
            </w:r>
            <w:r w:rsidR="00C311CC" w:rsidRPr="009917E3">
              <w:rPr>
                <w:rFonts w:cstheme="minorHAnsi"/>
              </w:rPr>
              <w:t>Gmina</w:t>
            </w:r>
            <w:r w:rsidRPr="009917E3">
              <w:rPr>
                <w:rFonts w:cstheme="minorHAnsi"/>
              </w:rPr>
              <w:t xml:space="preserve"> nie przekazuje Informacji o Schemacie Podatkowym do Szefa KAS w trybie opisanym powyżej. Każde kolejne udostępnienie takiego Schematu Podatkowego podlega raportowaniu wyłącznie w trybie opisanym w kroku 2 poniżej (raportowanie kwartalne). W zakresie obowiązków </w:t>
            </w:r>
            <w:r w:rsidR="00C311CC" w:rsidRPr="009917E3">
              <w:rPr>
                <w:rFonts w:cstheme="minorHAnsi"/>
              </w:rPr>
              <w:t>Gminy</w:t>
            </w:r>
            <w:r w:rsidRPr="009917E3">
              <w:rPr>
                <w:rFonts w:cstheme="minorHAnsi"/>
              </w:rPr>
              <w:t xml:space="preserve"> dotyczących informowania Klienta (Korzystającego), wybrane postanowienia stosuje się odpowiednio.</w:t>
            </w:r>
          </w:p>
        </w:tc>
      </w:tr>
      <w:tr w:rsidR="0057434B" w:rsidRPr="006A2A46" w14:paraId="3796821C" w14:textId="77777777" w:rsidTr="00997930">
        <w:tblPrEx>
          <w:tblCellMar>
            <w:left w:w="108" w:type="dxa"/>
            <w:right w:w="108" w:type="dxa"/>
          </w:tblCellMar>
        </w:tblPrEx>
        <w:tc>
          <w:tcPr>
            <w:tcW w:w="2359" w:type="dxa"/>
            <w:shd w:val="clear" w:color="auto" w:fill="auto"/>
          </w:tcPr>
          <w:p w14:paraId="0E8C2AED" w14:textId="77777777" w:rsidR="0057434B" w:rsidRPr="009917E3" w:rsidRDefault="0057434B" w:rsidP="0057434B">
            <w:pPr>
              <w:widowControl w:val="0"/>
              <w:autoSpaceDE w:val="0"/>
              <w:autoSpaceDN w:val="0"/>
              <w:adjustRightInd w:val="0"/>
              <w:spacing w:after="0" w:line="276" w:lineRule="auto"/>
              <w:rPr>
                <w:rFonts w:ascii="Calibri" w:eastAsia="Times New Roman" w:hAnsi="Calibri" w:cs="Calibri"/>
                <w:lang w:eastAsia="pl-PL"/>
              </w:rPr>
            </w:pPr>
            <w:r w:rsidRPr="009917E3">
              <w:rPr>
                <w:rFonts w:cstheme="minorHAnsi"/>
              </w:rPr>
              <w:lastRenderedPageBreak/>
              <w:t>2. Kwartalna Informacja o Udostępnieniu Schematu Podatkowego Standaryzowanego</w:t>
            </w:r>
          </w:p>
        </w:tc>
        <w:tc>
          <w:tcPr>
            <w:tcW w:w="8556" w:type="dxa"/>
            <w:gridSpan w:val="4"/>
            <w:shd w:val="clear" w:color="auto" w:fill="auto"/>
          </w:tcPr>
          <w:p w14:paraId="32578ACF" w14:textId="77777777" w:rsidR="0057434B" w:rsidRPr="009917E3" w:rsidRDefault="0057434B" w:rsidP="0057434B">
            <w:pPr>
              <w:numPr>
                <w:ilvl w:val="0"/>
                <w:numId w:val="29"/>
              </w:numPr>
              <w:spacing w:after="0" w:line="276" w:lineRule="auto"/>
              <w:ind w:left="357" w:hanging="357"/>
              <w:contextualSpacing/>
              <w:jc w:val="both"/>
              <w:rPr>
                <w:rFonts w:cstheme="minorHAnsi"/>
              </w:rPr>
            </w:pPr>
            <w:r w:rsidRPr="009917E3">
              <w:rPr>
                <w:rFonts w:cstheme="minorHAnsi"/>
              </w:rPr>
              <w:t xml:space="preserve">W odniesieniu do Schematów Podatkowych Standaryzowanych, udostępnionych w ramach danego kwartału, co do których </w:t>
            </w:r>
            <w:r w:rsidR="00C311CC" w:rsidRPr="009917E3">
              <w:rPr>
                <w:rFonts w:cstheme="minorHAnsi"/>
              </w:rPr>
              <w:t>Gmina</w:t>
            </w:r>
            <w:r w:rsidRPr="009917E3">
              <w:rPr>
                <w:rFonts w:cstheme="minorHAnsi"/>
              </w:rPr>
              <w:t xml:space="preserve"> uzyskał</w:t>
            </w:r>
            <w:r w:rsidR="00C311CC" w:rsidRPr="009917E3">
              <w:rPr>
                <w:rFonts w:cstheme="minorHAnsi"/>
              </w:rPr>
              <w:t>a</w:t>
            </w:r>
            <w:r w:rsidRPr="009917E3">
              <w:rPr>
                <w:rFonts w:cstheme="minorHAnsi"/>
              </w:rPr>
              <w:t xml:space="preserve"> numer NSP, Koordynator MDR </w:t>
            </w:r>
            <w:r w:rsidR="0073229D" w:rsidRPr="009917E3">
              <w:rPr>
                <w:rFonts w:cstheme="minorHAnsi"/>
              </w:rPr>
              <w:t xml:space="preserve">(na podstawie informacji uzyskanych od odpowiedniego Pracownika) </w:t>
            </w:r>
            <w:r w:rsidRPr="009917E3">
              <w:rPr>
                <w:rFonts w:cstheme="minorHAnsi"/>
              </w:rPr>
              <w:t>po zakończeniu każdego kwartału, przygotowuje Kwartalną Informację o Udostępnionych Schematach Podatkowych.</w:t>
            </w:r>
          </w:p>
          <w:p w14:paraId="6374F054" w14:textId="77777777" w:rsidR="0057434B" w:rsidRPr="009917E3" w:rsidRDefault="0057434B" w:rsidP="0057434B">
            <w:pPr>
              <w:numPr>
                <w:ilvl w:val="0"/>
                <w:numId w:val="29"/>
              </w:numPr>
              <w:spacing w:after="0" w:line="276" w:lineRule="auto"/>
              <w:ind w:left="357" w:hanging="357"/>
              <w:contextualSpacing/>
              <w:jc w:val="both"/>
              <w:rPr>
                <w:rFonts w:cstheme="minorHAnsi"/>
              </w:rPr>
            </w:pPr>
            <w:r w:rsidRPr="009917E3">
              <w:rPr>
                <w:rFonts w:cstheme="minorHAnsi"/>
              </w:rPr>
              <w:t xml:space="preserve">Osoba upoważniona do reprezentacji podpisuje i przekazuje do Szefa KAS </w:t>
            </w:r>
            <w:r w:rsidRPr="009917E3">
              <w:rPr>
                <w:rFonts w:cstheme="minorHAnsi"/>
                <w:color w:val="000000"/>
              </w:rPr>
              <w:t>Kwartalną Informację o Udostępnionych Schematach Podatkowych</w:t>
            </w:r>
            <w:r w:rsidRPr="009917E3" w:rsidDel="00D725BB">
              <w:rPr>
                <w:rFonts w:cstheme="minorHAnsi"/>
              </w:rPr>
              <w:t xml:space="preserve"> </w:t>
            </w:r>
            <w:r w:rsidRPr="009917E3">
              <w:rPr>
                <w:rFonts w:cstheme="minorHAnsi"/>
              </w:rPr>
              <w:t>wraz ze wskazaniem NSP nie później niż w terminie 30 dni po zakończeniu kwartału.</w:t>
            </w:r>
          </w:p>
          <w:p w14:paraId="1834AB26" w14:textId="77777777" w:rsidR="0057434B" w:rsidRPr="009917E3" w:rsidRDefault="0073229D" w:rsidP="0057434B">
            <w:pPr>
              <w:numPr>
                <w:ilvl w:val="0"/>
                <w:numId w:val="29"/>
              </w:numPr>
              <w:spacing w:after="0" w:line="276" w:lineRule="auto"/>
              <w:ind w:left="357" w:hanging="357"/>
              <w:contextualSpacing/>
              <w:jc w:val="both"/>
              <w:rPr>
                <w:rFonts w:cstheme="minorHAnsi"/>
              </w:rPr>
            </w:pPr>
            <w:r w:rsidRPr="009917E3">
              <w:rPr>
                <w:rFonts w:cstheme="minorHAnsi"/>
              </w:rPr>
              <w:t xml:space="preserve">Archiwizator </w:t>
            </w:r>
            <w:r w:rsidR="0057434B" w:rsidRPr="009917E3">
              <w:rPr>
                <w:rFonts w:cstheme="minorHAnsi"/>
              </w:rPr>
              <w:t xml:space="preserve">MDR archiwizuje </w:t>
            </w:r>
            <w:r w:rsidR="0057434B" w:rsidRPr="009917E3">
              <w:rPr>
                <w:rFonts w:cstheme="minorHAnsi"/>
                <w:color w:val="000000"/>
              </w:rPr>
              <w:t xml:space="preserve">Kwartalną Informację o Udostępnionych Schematach Podatkowych </w:t>
            </w:r>
            <w:r w:rsidR="0057434B" w:rsidRPr="009917E3">
              <w:rPr>
                <w:rFonts w:cstheme="minorHAnsi"/>
              </w:rPr>
              <w:t>w BSP.</w:t>
            </w:r>
          </w:p>
        </w:tc>
      </w:tr>
      <w:tr w:rsidR="00D764C3" w:rsidRPr="006A2A46" w14:paraId="55D2AD91" w14:textId="77777777" w:rsidTr="00997930">
        <w:tblPrEx>
          <w:tblCellMar>
            <w:left w:w="108" w:type="dxa"/>
            <w:right w:w="108" w:type="dxa"/>
          </w:tblCellMar>
        </w:tblPrEx>
        <w:tc>
          <w:tcPr>
            <w:tcW w:w="2359" w:type="dxa"/>
            <w:shd w:val="clear" w:color="auto" w:fill="auto"/>
          </w:tcPr>
          <w:p w14:paraId="240A3395" w14:textId="77777777" w:rsidR="00D764C3" w:rsidRPr="009917E3" w:rsidRDefault="00D764C3" w:rsidP="0057434B">
            <w:pPr>
              <w:widowControl w:val="0"/>
              <w:autoSpaceDE w:val="0"/>
              <w:autoSpaceDN w:val="0"/>
              <w:adjustRightInd w:val="0"/>
              <w:spacing w:after="0" w:line="276" w:lineRule="auto"/>
              <w:rPr>
                <w:rFonts w:cstheme="minorHAnsi"/>
              </w:rPr>
            </w:pPr>
            <w:r w:rsidRPr="009917E3">
              <w:rPr>
                <w:rFonts w:cstheme="minorHAnsi"/>
              </w:rPr>
              <w:t xml:space="preserve">3. </w:t>
            </w:r>
            <w:bookmarkStart w:id="9" w:name="_Toc532225683"/>
            <w:r w:rsidRPr="009917E3">
              <w:rPr>
                <w:rFonts w:cstheme="minorHAnsi"/>
              </w:rPr>
              <w:t>Raportowanie w przypadku Schematów Podatkowych Niestandaryzowanych</w:t>
            </w:r>
            <w:bookmarkEnd w:id="9"/>
          </w:p>
        </w:tc>
        <w:tc>
          <w:tcPr>
            <w:tcW w:w="8556" w:type="dxa"/>
            <w:gridSpan w:val="4"/>
            <w:shd w:val="clear" w:color="auto" w:fill="auto"/>
          </w:tcPr>
          <w:p w14:paraId="36699294" w14:textId="77777777" w:rsidR="00D764C3" w:rsidRPr="009917E3" w:rsidRDefault="00D764C3" w:rsidP="00D764C3">
            <w:pPr>
              <w:numPr>
                <w:ilvl w:val="0"/>
                <w:numId w:val="30"/>
              </w:numPr>
              <w:spacing w:after="0" w:line="276" w:lineRule="auto"/>
              <w:contextualSpacing/>
              <w:jc w:val="both"/>
              <w:rPr>
                <w:rFonts w:cstheme="minorHAnsi"/>
              </w:rPr>
            </w:pPr>
            <w:r w:rsidRPr="009917E3">
              <w:rPr>
                <w:rFonts w:cstheme="minorHAnsi"/>
              </w:rPr>
              <w:t>W przypadku identyfikacji Uzgodnienia stanowiącego Schemat Podatkowy Niestandaryzowany, Koordynator MDR gromadzi informacje oraz dane na potrzeby raportowania Schematów Podatkowych.</w:t>
            </w:r>
          </w:p>
          <w:p w14:paraId="0B28FB21" w14:textId="77777777" w:rsidR="00D764C3" w:rsidRPr="009917E3" w:rsidRDefault="0073229D" w:rsidP="00D764C3">
            <w:pPr>
              <w:numPr>
                <w:ilvl w:val="0"/>
                <w:numId w:val="30"/>
              </w:numPr>
              <w:spacing w:after="0" w:line="276" w:lineRule="auto"/>
              <w:contextualSpacing/>
              <w:jc w:val="both"/>
              <w:rPr>
                <w:rFonts w:cstheme="minorHAnsi"/>
              </w:rPr>
            </w:pPr>
            <w:r w:rsidRPr="009917E3">
              <w:rPr>
                <w:rFonts w:cstheme="minorHAnsi"/>
              </w:rPr>
              <w:t>Archiwizator</w:t>
            </w:r>
            <w:r w:rsidR="00D764C3" w:rsidRPr="009917E3">
              <w:rPr>
                <w:rFonts w:cstheme="minorHAnsi"/>
              </w:rPr>
              <w:t xml:space="preserve"> MDR archiwizuje wyniki weryfikacji w BSP oraz postępuje </w:t>
            </w:r>
            <w:r w:rsidRPr="009917E3">
              <w:rPr>
                <w:rFonts w:cstheme="minorHAnsi"/>
              </w:rPr>
              <w:t xml:space="preserve">się </w:t>
            </w:r>
            <w:r w:rsidR="00D764C3" w:rsidRPr="009917E3">
              <w:rPr>
                <w:rFonts w:cstheme="minorHAnsi"/>
              </w:rPr>
              <w:t xml:space="preserve">dalej zgodnie z procedurą opisaną powyżej w Kroku 1 </w:t>
            </w:r>
            <w:r w:rsidR="00D764C3" w:rsidRPr="009917E3">
              <w:rPr>
                <w:rFonts w:cstheme="minorHAnsi"/>
                <w:i/>
              </w:rPr>
              <w:t>Postępowanie w przypadku zidentyfikowania Schematu Podatkowego Standaryzowanego</w:t>
            </w:r>
            <w:r w:rsidR="00D764C3" w:rsidRPr="009917E3">
              <w:rPr>
                <w:rFonts w:cstheme="minorHAnsi"/>
              </w:rPr>
              <w:t>.</w:t>
            </w:r>
          </w:p>
          <w:p w14:paraId="3E36DFC7" w14:textId="77777777" w:rsidR="00D764C3" w:rsidRPr="009917E3" w:rsidRDefault="00D764C3" w:rsidP="00D764C3">
            <w:pPr>
              <w:numPr>
                <w:ilvl w:val="0"/>
                <w:numId w:val="30"/>
              </w:numPr>
              <w:spacing w:after="0" w:line="276" w:lineRule="auto"/>
              <w:contextualSpacing/>
              <w:jc w:val="both"/>
              <w:rPr>
                <w:rFonts w:cstheme="minorHAnsi"/>
              </w:rPr>
            </w:pPr>
            <w:r w:rsidRPr="009917E3">
              <w:rPr>
                <w:rFonts w:cstheme="minorHAnsi"/>
              </w:rPr>
              <w:t>Jeżeli w trakcie weryfikacji Koordynator MDR ustali dodatkowo, że w danym Schemacie Podatkowym w roli Promotora lub Wspomagającego występują również inne podmioty, Koordynator MDR równocześnie z poinformowaniem Kontrahenta (Korzystającego), informuje pisemnie inne znane mu podmioty obowiązane do przekazania Informacji o Schemacie Podatkowym, że nie przekaże Informacji o Schemacie Podatkowym do Szefa KAS.</w:t>
            </w:r>
          </w:p>
          <w:p w14:paraId="5A33B75F" w14:textId="77777777" w:rsidR="00D764C3" w:rsidRPr="009917E3" w:rsidRDefault="00D764C3" w:rsidP="00D764C3">
            <w:pPr>
              <w:numPr>
                <w:ilvl w:val="0"/>
                <w:numId w:val="30"/>
              </w:numPr>
              <w:spacing w:after="0" w:line="276" w:lineRule="auto"/>
              <w:contextualSpacing/>
              <w:jc w:val="both"/>
              <w:rPr>
                <w:rFonts w:cstheme="minorHAnsi"/>
              </w:rPr>
            </w:pPr>
            <w:r w:rsidRPr="009917E3">
              <w:rPr>
                <w:rFonts w:cstheme="minorHAnsi"/>
              </w:rPr>
              <w:t>Osoba upoważniona do reprezentacji w terminie 30 dni od dnia, w którym poinformowano Kontrahenta (Korzystającego) lub inne podmioty o obowiązku przekazania Informacji o Schemacie Podatkowym, zawiadamia o tym Szefa KAS w formie elektronicznej wskazując datę udostępnienia Schematu Podatkowego lub dokonania czynności związanej z Wdrażaniem schematu podatkowego oraz liczbę podmiotów, które poinformowano o obowiązku przekazania Schematu Podatkowego do Szefa KAS.</w:t>
            </w:r>
          </w:p>
          <w:p w14:paraId="0D0EAECD" w14:textId="77777777" w:rsidR="00D764C3" w:rsidRPr="009917E3" w:rsidRDefault="007F5A0A" w:rsidP="00D764C3">
            <w:pPr>
              <w:numPr>
                <w:ilvl w:val="0"/>
                <w:numId w:val="30"/>
              </w:numPr>
              <w:spacing w:after="0" w:line="276" w:lineRule="auto"/>
              <w:contextualSpacing/>
              <w:jc w:val="both"/>
              <w:rPr>
                <w:rFonts w:cstheme="minorHAnsi"/>
              </w:rPr>
            </w:pPr>
            <w:r w:rsidRPr="009917E3">
              <w:rPr>
                <w:rFonts w:cstheme="minorHAnsi"/>
              </w:rPr>
              <w:t>Archiwizator</w:t>
            </w:r>
            <w:r w:rsidR="00D764C3" w:rsidRPr="009917E3">
              <w:rPr>
                <w:rFonts w:cstheme="minorHAnsi"/>
              </w:rPr>
              <w:t xml:space="preserve"> MDR archiwizuje przekazane w procesie dokumenty, informacje, dane oraz korespondencję w BSP.</w:t>
            </w:r>
          </w:p>
          <w:p w14:paraId="0754A88C" w14:textId="77777777" w:rsidR="00D764C3" w:rsidRPr="009917E3" w:rsidRDefault="00D764C3" w:rsidP="00D764C3">
            <w:pPr>
              <w:numPr>
                <w:ilvl w:val="0"/>
                <w:numId w:val="30"/>
              </w:numPr>
              <w:spacing w:after="0" w:line="276" w:lineRule="auto"/>
              <w:contextualSpacing/>
              <w:jc w:val="both"/>
              <w:rPr>
                <w:rFonts w:cstheme="minorHAnsi"/>
              </w:rPr>
            </w:pPr>
            <w:r w:rsidRPr="009917E3">
              <w:rPr>
                <w:rFonts w:cstheme="minorHAnsi"/>
              </w:rPr>
              <w:t xml:space="preserve">Otrzymany NSP </w:t>
            </w:r>
            <w:r w:rsidR="007F5A0A" w:rsidRPr="009917E3">
              <w:rPr>
                <w:rFonts w:cstheme="minorHAnsi"/>
              </w:rPr>
              <w:t xml:space="preserve">Archiwizator </w:t>
            </w:r>
            <w:r w:rsidRPr="009917E3">
              <w:rPr>
                <w:rFonts w:cstheme="minorHAnsi"/>
              </w:rPr>
              <w:t>MDR archiwizuje w BSP.</w:t>
            </w:r>
          </w:p>
        </w:tc>
      </w:tr>
      <w:tr w:rsidR="00D764C3" w:rsidRPr="006A2A46" w14:paraId="76F556BC" w14:textId="77777777" w:rsidTr="00997930">
        <w:tblPrEx>
          <w:tblCellMar>
            <w:left w:w="108" w:type="dxa"/>
            <w:right w:w="108" w:type="dxa"/>
          </w:tblCellMar>
        </w:tblPrEx>
        <w:tc>
          <w:tcPr>
            <w:tcW w:w="2359" w:type="dxa"/>
            <w:shd w:val="clear" w:color="auto" w:fill="auto"/>
          </w:tcPr>
          <w:p w14:paraId="0E59820C" w14:textId="77777777" w:rsidR="00D764C3" w:rsidRPr="009917E3" w:rsidRDefault="00D764C3" w:rsidP="0057434B">
            <w:pPr>
              <w:widowControl w:val="0"/>
              <w:autoSpaceDE w:val="0"/>
              <w:autoSpaceDN w:val="0"/>
              <w:adjustRightInd w:val="0"/>
              <w:spacing w:after="0" w:line="276" w:lineRule="auto"/>
              <w:rPr>
                <w:rFonts w:cstheme="minorHAnsi"/>
              </w:rPr>
            </w:pPr>
            <w:r w:rsidRPr="009917E3">
              <w:rPr>
                <w:rFonts w:cstheme="minorHAnsi"/>
              </w:rPr>
              <w:t xml:space="preserve">4. Raportowanie w przypadku wystąpienia </w:t>
            </w:r>
            <w:r w:rsidRPr="009917E3">
              <w:rPr>
                <w:rFonts w:cstheme="minorHAnsi"/>
              </w:rPr>
              <w:lastRenderedPageBreak/>
              <w:t>Wspomagającego</w:t>
            </w:r>
          </w:p>
        </w:tc>
        <w:tc>
          <w:tcPr>
            <w:tcW w:w="8556" w:type="dxa"/>
            <w:gridSpan w:val="4"/>
            <w:shd w:val="clear" w:color="auto" w:fill="auto"/>
          </w:tcPr>
          <w:p w14:paraId="1ADECF31" w14:textId="77777777" w:rsidR="00D05B2B" w:rsidRPr="009917E3" w:rsidRDefault="00D764C3" w:rsidP="00D05B2B">
            <w:pPr>
              <w:numPr>
                <w:ilvl w:val="0"/>
                <w:numId w:val="31"/>
              </w:numPr>
              <w:spacing w:after="0" w:line="276" w:lineRule="auto"/>
              <w:ind w:left="317" w:hanging="283"/>
              <w:contextualSpacing/>
              <w:jc w:val="both"/>
              <w:rPr>
                <w:rFonts w:cstheme="minorHAnsi"/>
              </w:rPr>
            </w:pPr>
            <w:r w:rsidRPr="009917E3">
              <w:rPr>
                <w:rFonts w:cstheme="minorHAnsi"/>
              </w:rPr>
              <w:lastRenderedPageBreak/>
              <w:t xml:space="preserve">Jeżeli </w:t>
            </w:r>
            <w:r w:rsidR="00C311CC" w:rsidRPr="009917E3">
              <w:rPr>
                <w:rFonts w:cstheme="minorHAnsi"/>
              </w:rPr>
              <w:t>Gmina</w:t>
            </w:r>
            <w:r w:rsidRPr="009917E3">
              <w:rPr>
                <w:rFonts w:cstheme="minorHAnsi"/>
              </w:rPr>
              <w:t xml:space="preserve"> zleca Wspomagającemu wykonanie czynności pozostających w zakresie jego działania w odniesieniu do Schematu Podatkowego, lub jeżeli </w:t>
            </w:r>
            <w:r w:rsidR="00C311CC" w:rsidRPr="009917E3">
              <w:rPr>
                <w:rFonts w:cstheme="minorHAnsi"/>
              </w:rPr>
              <w:t>Gmina</w:t>
            </w:r>
            <w:r w:rsidRPr="009917E3">
              <w:rPr>
                <w:rFonts w:cstheme="minorHAnsi"/>
              </w:rPr>
              <w:t xml:space="preserve"> posiada informację o </w:t>
            </w:r>
            <w:r w:rsidRPr="009917E3">
              <w:rPr>
                <w:rFonts w:cstheme="minorHAnsi"/>
              </w:rPr>
              <w:lastRenderedPageBreak/>
              <w:t>występowaniu Wspomagającego, Koordynator MDR informuje pisemnie Wspomagającego o NSP tego Schematu Podatkowego, załączając potwierdzenie nadania NSP, najpóźniej w dniu poprzedzającym wykonanie tych czynności.</w:t>
            </w:r>
          </w:p>
          <w:p w14:paraId="70BF538E" w14:textId="77777777" w:rsidR="00D764C3" w:rsidRPr="009917E3" w:rsidRDefault="00D764C3" w:rsidP="00266B5A">
            <w:pPr>
              <w:numPr>
                <w:ilvl w:val="0"/>
                <w:numId w:val="31"/>
              </w:numPr>
              <w:spacing w:after="0" w:line="276" w:lineRule="auto"/>
              <w:ind w:left="317" w:hanging="283"/>
              <w:contextualSpacing/>
              <w:jc w:val="both"/>
              <w:rPr>
                <w:rFonts w:cstheme="minorHAnsi"/>
              </w:rPr>
            </w:pPr>
            <w:r w:rsidRPr="009917E3">
              <w:rPr>
                <w:rFonts w:cstheme="minorHAnsi"/>
              </w:rPr>
              <w:t>W przypadku, gdy Schemat Podatkowy nie posiada jeszcze NSP, Koordynator MDR informuje o tym pisemnie Wspomagającego oraz przekazuje mu dane dotyczące Schematu Podatkowego.</w:t>
            </w:r>
          </w:p>
        </w:tc>
      </w:tr>
      <w:tr w:rsidR="00997930" w:rsidRPr="006A2A46" w14:paraId="43C4A464" w14:textId="77777777" w:rsidTr="00C9005D">
        <w:tblPrEx>
          <w:tblCellMar>
            <w:left w:w="108" w:type="dxa"/>
            <w:right w:w="108" w:type="dxa"/>
          </w:tblCellMar>
        </w:tblPrEx>
        <w:tc>
          <w:tcPr>
            <w:tcW w:w="10915" w:type="dxa"/>
            <w:gridSpan w:val="5"/>
            <w:shd w:val="clear" w:color="auto" w:fill="F4B083" w:themeFill="accent2" w:themeFillTint="99"/>
          </w:tcPr>
          <w:p w14:paraId="3D0D56B8" w14:textId="3107D19E" w:rsidR="00997930" w:rsidRPr="009917E3" w:rsidRDefault="00997930" w:rsidP="00997930">
            <w:pPr>
              <w:keepNext/>
              <w:spacing w:after="0" w:line="276" w:lineRule="auto"/>
              <w:ind w:left="1451" w:hanging="1451"/>
              <w:jc w:val="center"/>
              <w:outlineLvl w:val="0"/>
              <w:rPr>
                <w:rFonts w:ascii="Calibri" w:eastAsia="Times New Roman" w:hAnsi="Calibri" w:cs="Calibri"/>
                <w:b/>
                <w:bCs/>
                <w:color w:val="000000"/>
                <w:kern w:val="32"/>
                <w:sz w:val="32"/>
                <w:szCs w:val="32"/>
                <w:lang w:eastAsia="x-none"/>
              </w:rPr>
            </w:pPr>
            <w:bookmarkStart w:id="10" w:name="_Toc65505165"/>
            <w:r w:rsidRPr="009917E3">
              <w:rPr>
                <w:rFonts w:ascii="Calibri" w:eastAsia="Times New Roman" w:hAnsi="Calibri" w:cs="Calibri"/>
                <w:b/>
                <w:bCs/>
                <w:color w:val="000000"/>
                <w:kern w:val="32"/>
                <w:sz w:val="32"/>
                <w:szCs w:val="32"/>
                <w:lang w:eastAsia="x-none"/>
              </w:rPr>
              <w:lastRenderedPageBreak/>
              <w:t>PROCES</w:t>
            </w:r>
            <w:r w:rsidRPr="009917E3">
              <w:rPr>
                <w:rFonts w:ascii="Calibri" w:eastAsia="Times New Roman" w:hAnsi="Calibri" w:cs="Calibri"/>
                <w:b/>
                <w:bCs/>
                <w:color w:val="000000"/>
                <w:kern w:val="32"/>
                <w:sz w:val="32"/>
                <w:szCs w:val="32"/>
                <w:lang w:val="x-none" w:eastAsia="x-none"/>
              </w:rPr>
              <w:t xml:space="preserve"> 2</w:t>
            </w:r>
            <w:r w:rsidRPr="009917E3">
              <w:rPr>
                <w:rFonts w:ascii="Calibri" w:eastAsia="Times New Roman" w:hAnsi="Calibri" w:cs="Calibri"/>
                <w:b/>
                <w:bCs/>
                <w:color w:val="000000"/>
                <w:kern w:val="32"/>
                <w:sz w:val="32"/>
                <w:szCs w:val="32"/>
                <w:lang w:eastAsia="x-none"/>
              </w:rPr>
              <w:t>B</w:t>
            </w:r>
            <w:r w:rsidRPr="009917E3">
              <w:rPr>
                <w:rFonts w:ascii="Calibri" w:eastAsia="Times New Roman" w:hAnsi="Calibri" w:cs="Calibri"/>
                <w:b/>
                <w:bCs/>
                <w:color w:val="000000"/>
                <w:kern w:val="32"/>
                <w:sz w:val="32"/>
                <w:szCs w:val="32"/>
                <w:lang w:val="x-none" w:eastAsia="x-none"/>
              </w:rPr>
              <w:t xml:space="preserve">: Sposób postępowania w przypadku, gdy </w:t>
            </w:r>
            <w:r w:rsidR="00E86678" w:rsidRPr="009917E3">
              <w:rPr>
                <w:rFonts w:ascii="Calibri" w:eastAsia="Times New Roman" w:hAnsi="Calibri" w:cs="Calibri"/>
                <w:b/>
                <w:bCs/>
                <w:color w:val="000000"/>
                <w:kern w:val="32"/>
                <w:sz w:val="32"/>
                <w:szCs w:val="32"/>
                <w:lang w:eastAsia="x-none"/>
              </w:rPr>
              <w:t>Gmina</w:t>
            </w:r>
            <w:r w:rsidRPr="009917E3">
              <w:rPr>
                <w:rFonts w:ascii="Calibri" w:eastAsia="Times New Roman" w:hAnsi="Calibri" w:cs="Calibri"/>
                <w:b/>
                <w:bCs/>
                <w:color w:val="000000"/>
                <w:kern w:val="32"/>
                <w:sz w:val="32"/>
                <w:szCs w:val="32"/>
                <w:lang w:val="x-none" w:eastAsia="x-none"/>
              </w:rPr>
              <w:t xml:space="preserve"> występuje w roli </w:t>
            </w:r>
            <w:r w:rsidRPr="009917E3">
              <w:rPr>
                <w:rFonts w:ascii="Calibri" w:eastAsia="Times New Roman" w:hAnsi="Calibri" w:cs="Calibri"/>
                <w:b/>
                <w:bCs/>
                <w:color w:val="000000"/>
                <w:kern w:val="32"/>
                <w:sz w:val="32"/>
                <w:szCs w:val="32"/>
                <w:lang w:eastAsia="x-none"/>
              </w:rPr>
              <w:t>Wspomagającego</w:t>
            </w:r>
            <w:bookmarkEnd w:id="10"/>
          </w:p>
        </w:tc>
      </w:tr>
      <w:tr w:rsidR="00997930" w:rsidRPr="006A2A46" w14:paraId="1B2A0373" w14:textId="77777777" w:rsidTr="00997930">
        <w:tblPrEx>
          <w:tblCellMar>
            <w:left w:w="108" w:type="dxa"/>
            <w:right w:w="108" w:type="dxa"/>
          </w:tblCellMar>
        </w:tblPrEx>
        <w:tc>
          <w:tcPr>
            <w:tcW w:w="2379" w:type="dxa"/>
            <w:gridSpan w:val="2"/>
            <w:shd w:val="clear" w:color="auto" w:fill="auto"/>
          </w:tcPr>
          <w:p w14:paraId="69E3581B" w14:textId="77777777" w:rsidR="00997930" w:rsidRPr="009917E3" w:rsidRDefault="00997930" w:rsidP="00997930">
            <w:pPr>
              <w:widowControl w:val="0"/>
              <w:autoSpaceDE w:val="0"/>
              <w:autoSpaceDN w:val="0"/>
              <w:adjustRightInd w:val="0"/>
              <w:spacing w:after="0" w:line="276" w:lineRule="auto"/>
              <w:rPr>
                <w:rFonts w:ascii="Calibri" w:eastAsia="Times New Roman" w:hAnsi="Calibri" w:cs="Calibri"/>
                <w:b/>
                <w:bCs/>
                <w:color w:val="000000"/>
                <w:kern w:val="32"/>
                <w:sz w:val="32"/>
                <w:szCs w:val="32"/>
                <w:lang w:eastAsia="x-none"/>
              </w:rPr>
            </w:pPr>
            <w:r w:rsidRPr="009917E3">
              <w:rPr>
                <w:rFonts w:cstheme="minorHAnsi"/>
              </w:rPr>
              <w:t>1. Raportowanie w przypadku, gdy</w:t>
            </w:r>
            <w:r w:rsidR="00C311CC" w:rsidRPr="009917E3">
              <w:rPr>
                <w:rFonts w:cstheme="minorHAnsi"/>
              </w:rPr>
              <w:t xml:space="preserve"> Gmina </w:t>
            </w:r>
            <w:r w:rsidRPr="009917E3">
              <w:rPr>
                <w:rFonts w:cstheme="minorHAnsi"/>
              </w:rPr>
              <w:t>występuje w roli Wspomagającego</w:t>
            </w:r>
          </w:p>
        </w:tc>
        <w:tc>
          <w:tcPr>
            <w:tcW w:w="8536" w:type="dxa"/>
            <w:gridSpan w:val="3"/>
            <w:shd w:val="clear" w:color="auto" w:fill="auto"/>
          </w:tcPr>
          <w:p w14:paraId="51B80476" w14:textId="77777777" w:rsidR="00997930" w:rsidRPr="009917E3" w:rsidRDefault="00997930" w:rsidP="00997930">
            <w:pPr>
              <w:pStyle w:val="Akapitzlist"/>
              <w:numPr>
                <w:ilvl w:val="0"/>
                <w:numId w:val="32"/>
              </w:numPr>
              <w:spacing w:after="0" w:line="276" w:lineRule="auto"/>
              <w:jc w:val="both"/>
              <w:rPr>
                <w:rFonts w:cstheme="minorHAnsi"/>
              </w:rPr>
            </w:pPr>
            <w:r w:rsidRPr="009917E3">
              <w:rPr>
                <w:rFonts w:cstheme="minorHAnsi"/>
              </w:rPr>
              <w:t xml:space="preserve">W przypadku, gdy </w:t>
            </w:r>
            <w:r w:rsidR="00C311CC" w:rsidRPr="009917E3">
              <w:rPr>
                <w:rFonts w:cstheme="minorHAnsi"/>
              </w:rPr>
              <w:t>Gmina</w:t>
            </w:r>
            <w:r w:rsidRPr="009917E3">
              <w:rPr>
                <w:rFonts w:cstheme="minorHAnsi"/>
              </w:rPr>
              <w:t>:</w:t>
            </w:r>
          </w:p>
          <w:p w14:paraId="1B8FF7FD" w14:textId="77777777" w:rsidR="00997930" w:rsidRPr="009917E3" w:rsidRDefault="00997930" w:rsidP="00997930">
            <w:pPr>
              <w:pStyle w:val="Akapitzlist"/>
              <w:numPr>
                <w:ilvl w:val="0"/>
                <w:numId w:val="36"/>
              </w:numPr>
              <w:spacing w:after="0" w:line="276" w:lineRule="auto"/>
              <w:jc w:val="both"/>
              <w:rPr>
                <w:rFonts w:cstheme="minorHAnsi"/>
              </w:rPr>
            </w:pPr>
            <w:r w:rsidRPr="009917E3">
              <w:rPr>
                <w:rFonts w:cstheme="minorHAnsi"/>
              </w:rPr>
              <w:t>nie została poinformowana o NSP danego Schematu Podatkowego najpóźniej w dniu poprzedzającym wykonanie zleconych czynności, lub</w:t>
            </w:r>
          </w:p>
          <w:p w14:paraId="7D296592" w14:textId="77777777" w:rsidR="00997930" w:rsidRPr="009917E3" w:rsidRDefault="00997930" w:rsidP="00997930">
            <w:pPr>
              <w:pStyle w:val="Akapitzlist"/>
              <w:numPr>
                <w:ilvl w:val="0"/>
                <w:numId w:val="36"/>
              </w:numPr>
              <w:spacing w:after="0" w:line="276" w:lineRule="auto"/>
              <w:jc w:val="both"/>
              <w:rPr>
                <w:rFonts w:cstheme="minorHAnsi"/>
              </w:rPr>
            </w:pPr>
            <w:r w:rsidRPr="009917E3">
              <w:rPr>
                <w:rFonts w:cstheme="minorHAnsi"/>
              </w:rPr>
              <w:t xml:space="preserve">nie została poinformowana, że dany Schemat Podatkowy nie posiada jeszcze NSP i nie otrzymała danych niezbędnych do sporządzenia Informacji o Schemacie Podatkowym </w:t>
            </w:r>
          </w:p>
          <w:p w14:paraId="382A88E0" w14:textId="77777777" w:rsidR="00997930" w:rsidRPr="009917E3" w:rsidRDefault="00997930" w:rsidP="00997930">
            <w:pPr>
              <w:spacing w:after="0"/>
              <w:ind w:left="317"/>
              <w:contextualSpacing/>
              <w:jc w:val="both"/>
              <w:rPr>
                <w:rFonts w:cstheme="minorHAnsi"/>
              </w:rPr>
            </w:pPr>
            <w:r w:rsidRPr="009917E3">
              <w:rPr>
                <w:rFonts w:cstheme="minorHAnsi"/>
              </w:rPr>
              <w:t>- Koordynator MDR niezwłocznie przesyła Kontrahentowi (Korzystającemu) oświadczenie, w celu potwierdzenia czy Uzgodnienie stanowi Schemat Podatkowy.</w:t>
            </w:r>
          </w:p>
          <w:p w14:paraId="52D1D683" w14:textId="77777777" w:rsidR="00997930" w:rsidRPr="009917E3" w:rsidRDefault="00997930" w:rsidP="00997930">
            <w:pPr>
              <w:pStyle w:val="Akapitzlist"/>
              <w:numPr>
                <w:ilvl w:val="0"/>
                <w:numId w:val="32"/>
              </w:numPr>
              <w:spacing w:after="0" w:line="276" w:lineRule="auto"/>
              <w:jc w:val="both"/>
              <w:rPr>
                <w:rFonts w:cstheme="minorHAnsi"/>
              </w:rPr>
            </w:pPr>
            <w:r w:rsidRPr="009917E3">
              <w:rPr>
                <w:rFonts w:cstheme="minorHAnsi"/>
              </w:rPr>
              <w:t xml:space="preserve">W przypadku powzięcia wątpliwości w zakresie wystąpienia Schematu Podatkowego po stronie Kontrahenta </w:t>
            </w:r>
            <w:r w:rsidR="00C311CC" w:rsidRPr="009917E3">
              <w:rPr>
                <w:rFonts w:cstheme="minorHAnsi"/>
              </w:rPr>
              <w:t>Gminy</w:t>
            </w:r>
            <w:r w:rsidRPr="009917E3">
              <w:rPr>
                <w:rFonts w:cstheme="minorHAnsi"/>
              </w:rPr>
              <w:t xml:space="preserve">, w terminie do 5 dni roboczych od dnia powzięcia wątpliwości/zidentyfikowania takiej sytuacji, przesyła się Kontrahentowi (Korzystającemu) oświadczenie, o którym mowa w pkt 1 powyżej. </w:t>
            </w:r>
          </w:p>
          <w:p w14:paraId="571F30F6" w14:textId="77777777" w:rsidR="00997930" w:rsidRPr="009917E3" w:rsidRDefault="00997930" w:rsidP="00997930">
            <w:pPr>
              <w:pStyle w:val="Akapitzlist"/>
              <w:numPr>
                <w:ilvl w:val="0"/>
                <w:numId w:val="32"/>
              </w:numPr>
              <w:spacing w:after="0" w:line="276" w:lineRule="auto"/>
              <w:jc w:val="both"/>
              <w:rPr>
                <w:rFonts w:cstheme="minorHAnsi"/>
              </w:rPr>
            </w:pPr>
            <w:r w:rsidRPr="009917E3">
              <w:rPr>
                <w:rFonts w:cstheme="minorHAnsi"/>
              </w:rPr>
              <w:t>Jednocześnie, Osoba upoważniona do reprezentacji niezwłocznie, nie później jednak niż w terminie 5 dni roboczych od dnia powzięcia wątpliwości/zidentyfikowania, zawiadamia w formie elektronicznej Szefa KAS o zaistnieniu sytuacji opisanej w pkt 1 powyżej. W zawiadomieniu Koordynator MDR wskazuje:</w:t>
            </w:r>
          </w:p>
          <w:p w14:paraId="62A6313F" w14:textId="77777777" w:rsidR="00997930" w:rsidRPr="009917E3" w:rsidRDefault="00997930" w:rsidP="00997930">
            <w:pPr>
              <w:pStyle w:val="Bezodstpw"/>
              <w:numPr>
                <w:ilvl w:val="0"/>
                <w:numId w:val="33"/>
              </w:numPr>
              <w:spacing w:line="276" w:lineRule="auto"/>
              <w:ind w:leftChars="208" w:left="742" w:hangingChars="129" w:hanging="284"/>
              <w:jc w:val="both"/>
              <w:rPr>
                <w:rFonts w:asciiTheme="minorHAnsi" w:hAnsiTheme="minorHAnsi" w:cstheme="minorHAnsi"/>
              </w:rPr>
            </w:pPr>
            <w:r w:rsidRPr="009917E3">
              <w:rPr>
                <w:rFonts w:asciiTheme="minorHAnsi" w:hAnsiTheme="minorHAnsi" w:cstheme="minorHAnsi"/>
              </w:rPr>
              <w:t xml:space="preserve">dzień, w którym powziął wątpliwości, że Uzgodnienie stanowi Schemat Podatkowy; oraz </w:t>
            </w:r>
          </w:p>
          <w:p w14:paraId="1CBC1C99" w14:textId="77777777" w:rsidR="00997930" w:rsidRPr="009917E3" w:rsidRDefault="00997930" w:rsidP="00997930">
            <w:pPr>
              <w:pStyle w:val="Bezodstpw"/>
              <w:numPr>
                <w:ilvl w:val="0"/>
                <w:numId w:val="33"/>
              </w:numPr>
              <w:spacing w:line="276" w:lineRule="auto"/>
              <w:ind w:leftChars="208" w:left="742" w:hangingChars="129" w:hanging="284"/>
              <w:jc w:val="both"/>
              <w:rPr>
                <w:rFonts w:asciiTheme="minorHAnsi" w:hAnsiTheme="minorHAnsi" w:cstheme="minorHAnsi"/>
              </w:rPr>
            </w:pPr>
            <w:r w:rsidRPr="009917E3">
              <w:rPr>
                <w:rFonts w:asciiTheme="minorHAnsi" w:hAnsiTheme="minorHAnsi" w:cstheme="minorHAnsi"/>
              </w:rPr>
              <w:t>liczbę podmiotów, do których wystąpił o przekazanie mu pisemnego oświadczenia, że Uzgodnienie nie stanowi Schematu Podatkowego.</w:t>
            </w:r>
          </w:p>
          <w:p w14:paraId="77A1E3D5" w14:textId="77777777" w:rsidR="00997930" w:rsidRPr="009917E3" w:rsidRDefault="00C311CC" w:rsidP="00997930">
            <w:pPr>
              <w:pStyle w:val="Akapitzlist"/>
              <w:numPr>
                <w:ilvl w:val="0"/>
                <w:numId w:val="37"/>
              </w:numPr>
              <w:spacing w:after="0" w:line="276" w:lineRule="auto"/>
              <w:jc w:val="both"/>
              <w:rPr>
                <w:rFonts w:cstheme="minorHAnsi"/>
              </w:rPr>
            </w:pPr>
            <w:r w:rsidRPr="009917E3">
              <w:rPr>
                <w:rFonts w:cstheme="minorHAnsi"/>
              </w:rPr>
              <w:t>Gmina</w:t>
            </w:r>
            <w:r w:rsidR="00997930" w:rsidRPr="009917E3">
              <w:rPr>
                <w:rFonts w:cstheme="minorHAnsi"/>
              </w:rPr>
              <w:t xml:space="preserve"> oraz Jednostki, które zawarły umowę z Kontrahentem mogą wstrzymać się z jej wykonaniem do dnia otrzymania informacji od Koordynatora MDR, że zlecający przekazał: (i) oświadczenie, że dane Uzgodnienie nie stanowi Schematu Podatkowego lub (ii) informację, że dane Uzgodnienie stanowi Schemat Podatkowy oraz NSP tego Schematu Podatkowego lub (iii) informację, że dany Schemat Podatkowy nie posiada jeszcze NSP.</w:t>
            </w:r>
          </w:p>
          <w:p w14:paraId="18AE62CF" w14:textId="77777777" w:rsidR="00997930" w:rsidRPr="009917E3" w:rsidRDefault="00DE4D53" w:rsidP="00997930">
            <w:pPr>
              <w:pStyle w:val="Akapitzlist"/>
              <w:numPr>
                <w:ilvl w:val="0"/>
                <w:numId w:val="37"/>
              </w:numPr>
              <w:spacing w:after="0" w:line="276" w:lineRule="auto"/>
              <w:jc w:val="both"/>
              <w:rPr>
                <w:rFonts w:cstheme="minorHAnsi"/>
              </w:rPr>
            </w:pPr>
            <w:r w:rsidRPr="009917E3">
              <w:rPr>
                <w:rFonts w:cstheme="minorHAnsi"/>
              </w:rPr>
              <w:t>Archiwizator</w:t>
            </w:r>
            <w:r w:rsidR="00997930" w:rsidRPr="009917E3">
              <w:rPr>
                <w:rFonts w:cstheme="minorHAnsi"/>
              </w:rPr>
              <w:t xml:space="preserve"> MDR w przypadku, gdy </w:t>
            </w:r>
            <w:r w:rsidR="00C311CC" w:rsidRPr="009917E3">
              <w:rPr>
                <w:rFonts w:cstheme="minorHAnsi"/>
              </w:rPr>
              <w:t>Gmina</w:t>
            </w:r>
            <w:r w:rsidR="00997930" w:rsidRPr="009917E3">
              <w:rPr>
                <w:rFonts w:cstheme="minorHAnsi"/>
              </w:rPr>
              <w:t xml:space="preserve"> po zapytaniu, o którym mowa w pkt 1:</w:t>
            </w:r>
          </w:p>
          <w:p w14:paraId="75115F8F" w14:textId="77777777" w:rsidR="00997930" w:rsidRPr="009917E3" w:rsidRDefault="00997930" w:rsidP="00997930">
            <w:pPr>
              <w:pStyle w:val="Akapitzlist"/>
              <w:numPr>
                <w:ilvl w:val="0"/>
                <w:numId w:val="34"/>
              </w:numPr>
              <w:spacing w:after="0" w:line="276" w:lineRule="auto"/>
              <w:ind w:left="742"/>
              <w:jc w:val="both"/>
              <w:rPr>
                <w:rFonts w:cstheme="minorHAnsi"/>
              </w:rPr>
            </w:pPr>
            <w:r w:rsidRPr="009917E3">
              <w:rPr>
                <w:rFonts w:cstheme="minorHAnsi"/>
              </w:rPr>
              <w:t>otrzymała odpowiedź i została poinformowana o numerze NSP lub</w:t>
            </w:r>
          </w:p>
          <w:p w14:paraId="368BF247" w14:textId="77777777" w:rsidR="00997930" w:rsidRPr="009917E3" w:rsidRDefault="00997930" w:rsidP="00997930">
            <w:pPr>
              <w:pStyle w:val="Akapitzlist"/>
              <w:numPr>
                <w:ilvl w:val="0"/>
                <w:numId w:val="34"/>
              </w:numPr>
              <w:spacing w:after="0" w:line="276" w:lineRule="auto"/>
              <w:ind w:left="742"/>
              <w:jc w:val="both"/>
              <w:rPr>
                <w:rFonts w:cstheme="minorHAnsi"/>
              </w:rPr>
            </w:pPr>
            <w:r w:rsidRPr="009917E3">
              <w:rPr>
                <w:rFonts w:cstheme="minorHAnsi"/>
              </w:rPr>
              <w:t xml:space="preserve">otrzymała odpowiedź, że Schemat Podatkowy nie posiada NSP i otrzymała dane o tym Schemacie Podatkowym </w:t>
            </w:r>
          </w:p>
          <w:p w14:paraId="31DA550D" w14:textId="77777777" w:rsidR="00997930" w:rsidRPr="009917E3" w:rsidRDefault="00997930" w:rsidP="00997930">
            <w:pPr>
              <w:spacing w:after="0"/>
              <w:ind w:left="284"/>
              <w:contextualSpacing/>
              <w:jc w:val="both"/>
              <w:rPr>
                <w:rFonts w:cstheme="minorHAnsi"/>
              </w:rPr>
            </w:pPr>
            <w:r w:rsidRPr="009917E3">
              <w:rPr>
                <w:rFonts w:cstheme="minorHAnsi"/>
              </w:rPr>
              <w:t>– archiwizuje przedmiotową korespondencję oraz archiwizuje otrzymany NSP w BSP.</w:t>
            </w:r>
          </w:p>
          <w:p w14:paraId="1FFDA399" w14:textId="77777777" w:rsidR="00997930" w:rsidRPr="009917E3" w:rsidRDefault="00997930" w:rsidP="00997930">
            <w:pPr>
              <w:pStyle w:val="Akapitzlist"/>
              <w:numPr>
                <w:ilvl w:val="0"/>
                <w:numId w:val="37"/>
              </w:numPr>
              <w:spacing w:after="0" w:line="276" w:lineRule="auto"/>
              <w:jc w:val="both"/>
              <w:rPr>
                <w:rFonts w:cstheme="minorHAnsi"/>
              </w:rPr>
            </w:pPr>
            <w:r w:rsidRPr="009917E3">
              <w:rPr>
                <w:rFonts w:cstheme="minorHAnsi"/>
              </w:rPr>
              <w:t xml:space="preserve">Koordynator MDR w przypadku, gdy </w:t>
            </w:r>
            <w:r w:rsidR="00C311CC" w:rsidRPr="009917E3">
              <w:rPr>
                <w:rFonts w:cstheme="minorHAnsi"/>
              </w:rPr>
              <w:t>Gmina</w:t>
            </w:r>
            <w:r w:rsidRPr="009917E3">
              <w:rPr>
                <w:rFonts w:cstheme="minorHAnsi"/>
              </w:rPr>
              <w:t xml:space="preserve"> po zapytaniu, o którym mowa w ust. 1:</w:t>
            </w:r>
          </w:p>
          <w:p w14:paraId="6079F02F" w14:textId="77777777" w:rsidR="00997930" w:rsidRPr="009917E3" w:rsidRDefault="00997930" w:rsidP="00997930">
            <w:pPr>
              <w:pStyle w:val="Akapitzlist"/>
              <w:numPr>
                <w:ilvl w:val="0"/>
                <w:numId w:val="35"/>
              </w:numPr>
              <w:spacing w:after="0" w:line="276" w:lineRule="auto"/>
              <w:ind w:left="742"/>
              <w:jc w:val="both"/>
              <w:rPr>
                <w:rFonts w:cstheme="minorHAnsi"/>
              </w:rPr>
            </w:pPr>
            <w:r w:rsidRPr="009917E3">
              <w:rPr>
                <w:rFonts w:cstheme="minorHAnsi"/>
              </w:rPr>
              <w:t xml:space="preserve">otrzymała odpowiedź, lecz nie została poinformowana o NSP danego Schematu Podatkowego lub została poinformowana, że Schemat Podatkowy nie posiada NSP i nie otrzymała danych o tym Schemacie Podatkowym, lub </w:t>
            </w:r>
          </w:p>
          <w:p w14:paraId="41001F7A" w14:textId="77777777" w:rsidR="00997930" w:rsidRPr="009917E3" w:rsidRDefault="00997930" w:rsidP="00997930">
            <w:pPr>
              <w:pStyle w:val="Akapitzlist"/>
              <w:numPr>
                <w:ilvl w:val="0"/>
                <w:numId w:val="35"/>
              </w:numPr>
              <w:spacing w:after="0" w:line="276" w:lineRule="auto"/>
              <w:ind w:left="742"/>
              <w:jc w:val="both"/>
              <w:rPr>
                <w:rFonts w:cstheme="minorHAnsi"/>
              </w:rPr>
            </w:pPr>
            <w:r w:rsidRPr="009917E3">
              <w:rPr>
                <w:rFonts w:cstheme="minorHAnsi"/>
              </w:rPr>
              <w:t>otrzymała odpowiedź, że Uzgodnienie nie jest Schematem Podatkowym, jednakże powzięto w tym zakresie wątpliwości, lub</w:t>
            </w:r>
          </w:p>
          <w:p w14:paraId="3CC47472" w14:textId="77777777" w:rsidR="00997930" w:rsidRPr="009917E3" w:rsidRDefault="00997930" w:rsidP="00997930">
            <w:pPr>
              <w:pStyle w:val="Akapitzlist"/>
              <w:numPr>
                <w:ilvl w:val="0"/>
                <w:numId w:val="35"/>
              </w:numPr>
              <w:spacing w:after="0" w:line="276" w:lineRule="auto"/>
              <w:ind w:left="742"/>
              <w:jc w:val="both"/>
              <w:rPr>
                <w:rFonts w:cstheme="minorHAnsi"/>
              </w:rPr>
            </w:pPr>
            <w:r w:rsidRPr="009917E3">
              <w:rPr>
                <w:rFonts w:cstheme="minorHAnsi"/>
              </w:rPr>
              <w:lastRenderedPageBreak/>
              <w:t>nie otrzymała odpowiedzi,</w:t>
            </w:r>
          </w:p>
          <w:p w14:paraId="57B40D2F" w14:textId="77777777" w:rsidR="00997930" w:rsidRPr="009917E3" w:rsidRDefault="00997930" w:rsidP="00997930">
            <w:pPr>
              <w:pStyle w:val="Akapitzlist"/>
              <w:spacing w:after="0"/>
              <w:ind w:left="360"/>
              <w:jc w:val="both"/>
              <w:rPr>
                <w:rFonts w:cstheme="minorHAnsi"/>
              </w:rPr>
            </w:pPr>
            <w:r w:rsidRPr="009917E3">
              <w:rPr>
                <w:rFonts w:cstheme="minorHAnsi"/>
              </w:rPr>
              <w:t xml:space="preserve">- </w:t>
            </w:r>
            <w:r w:rsidR="00DE4D53" w:rsidRPr="009917E3">
              <w:rPr>
                <w:rFonts w:cstheme="minorHAnsi"/>
              </w:rPr>
              <w:t>przygotowuje</w:t>
            </w:r>
            <w:r w:rsidRPr="009917E3">
              <w:rPr>
                <w:rFonts w:cstheme="minorHAnsi"/>
              </w:rPr>
              <w:t xml:space="preserve"> do Szefa KAS Informację o Schemacie Podatkowym dotyczącym Kontrahenta, który zawarł z </w:t>
            </w:r>
            <w:r w:rsidR="00C311CC" w:rsidRPr="009917E3">
              <w:rPr>
                <w:rFonts w:cstheme="minorHAnsi"/>
              </w:rPr>
              <w:t>Gminą</w:t>
            </w:r>
            <w:r w:rsidRPr="009917E3">
              <w:rPr>
                <w:rFonts w:cstheme="minorHAnsi"/>
              </w:rPr>
              <w:t xml:space="preserve"> umowę</w:t>
            </w:r>
            <w:r w:rsidR="00DE4D53" w:rsidRPr="009917E3">
              <w:rPr>
                <w:rFonts w:cstheme="minorHAnsi"/>
              </w:rPr>
              <w:t>.</w:t>
            </w:r>
          </w:p>
          <w:p w14:paraId="316AA0C3" w14:textId="77777777" w:rsidR="00997930" w:rsidRPr="009917E3" w:rsidRDefault="00C311CC" w:rsidP="00997930">
            <w:pPr>
              <w:pStyle w:val="Akapitzlist"/>
              <w:numPr>
                <w:ilvl w:val="0"/>
                <w:numId w:val="37"/>
              </w:numPr>
              <w:spacing w:after="0" w:line="276" w:lineRule="auto"/>
              <w:jc w:val="both"/>
              <w:rPr>
                <w:rFonts w:cstheme="minorHAnsi"/>
              </w:rPr>
            </w:pPr>
            <w:r w:rsidRPr="009917E3">
              <w:rPr>
                <w:rFonts w:cstheme="minorHAnsi"/>
              </w:rPr>
              <w:t>Gmina</w:t>
            </w:r>
            <w:r w:rsidR="00997930" w:rsidRPr="009917E3">
              <w:rPr>
                <w:rFonts w:cstheme="minorHAnsi"/>
              </w:rPr>
              <w:t xml:space="preserve"> lub Jednostka, która wstrzymała się z wykonaniem działania zgodnie z pkt 4, niezwłocznie przystępuje do jego wykonania, po otrzymaniu od Koordynatora MDR informacji o których mowa w punktach 5 lub 6 powyżej.</w:t>
            </w:r>
          </w:p>
          <w:p w14:paraId="62A626C3" w14:textId="77777777" w:rsidR="00997930" w:rsidRPr="009917E3" w:rsidRDefault="00DE4D53" w:rsidP="00DE4D53">
            <w:pPr>
              <w:pStyle w:val="Akapitzlist"/>
              <w:numPr>
                <w:ilvl w:val="0"/>
                <w:numId w:val="37"/>
              </w:numPr>
              <w:spacing w:after="0" w:line="276" w:lineRule="auto"/>
              <w:jc w:val="both"/>
              <w:rPr>
                <w:rFonts w:cstheme="minorHAnsi"/>
              </w:rPr>
            </w:pPr>
            <w:r w:rsidRPr="009917E3">
              <w:rPr>
                <w:rFonts w:cstheme="minorHAnsi"/>
              </w:rPr>
              <w:t>Archiwizator</w:t>
            </w:r>
            <w:r w:rsidR="00997930" w:rsidRPr="009917E3">
              <w:rPr>
                <w:rFonts w:cstheme="minorHAnsi"/>
              </w:rPr>
              <w:t xml:space="preserve"> MDR archiwizuje Informację o Schemacie Podatkowym w BSP.</w:t>
            </w:r>
          </w:p>
        </w:tc>
      </w:tr>
      <w:tr w:rsidR="00997930" w:rsidRPr="006A2A46" w14:paraId="5179A0E8" w14:textId="77777777" w:rsidTr="00997930">
        <w:tblPrEx>
          <w:tblCellMar>
            <w:left w:w="108" w:type="dxa"/>
            <w:right w:w="108" w:type="dxa"/>
          </w:tblCellMar>
        </w:tblPrEx>
        <w:tc>
          <w:tcPr>
            <w:tcW w:w="2379" w:type="dxa"/>
            <w:gridSpan w:val="2"/>
            <w:shd w:val="clear" w:color="auto" w:fill="auto"/>
          </w:tcPr>
          <w:p w14:paraId="35D308E0" w14:textId="77777777" w:rsidR="00997930" w:rsidRPr="009917E3" w:rsidRDefault="00997930" w:rsidP="00997930">
            <w:pPr>
              <w:widowControl w:val="0"/>
              <w:autoSpaceDE w:val="0"/>
              <w:autoSpaceDN w:val="0"/>
              <w:adjustRightInd w:val="0"/>
              <w:spacing w:after="0" w:line="276" w:lineRule="auto"/>
              <w:rPr>
                <w:rFonts w:cstheme="minorHAnsi"/>
              </w:rPr>
            </w:pPr>
            <w:r w:rsidRPr="009917E3">
              <w:rPr>
                <w:rFonts w:cstheme="minorHAnsi"/>
              </w:rPr>
              <w:lastRenderedPageBreak/>
              <w:t>2. Kwartalna Informacja o Udostępnieniu Schematu Podatkowego Standaryzowanego</w:t>
            </w:r>
          </w:p>
        </w:tc>
        <w:tc>
          <w:tcPr>
            <w:tcW w:w="8536" w:type="dxa"/>
            <w:gridSpan w:val="3"/>
            <w:shd w:val="clear" w:color="auto" w:fill="auto"/>
          </w:tcPr>
          <w:p w14:paraId="7C0858C1" w14:textId="77777777" w:rsidR="00997930" w:rsidRPr="009917E3" w:rsidRDefault="00997930" w:rsidP="00997930">
            <w:pPr>
              <w:pStyle w:val="Akapitzlist"/>
              <w:numPr>
                <w:ilvl w:val="0"/>
                <w:numId w:val="38"/>
              </w:numPr>
              <w:spacing w:after="0" w:line="276" w:lineRule="auto"/>
              <w:jc w:val="both"/>
              <w:rPr>
                <w:rFonts w:cstheme="minorHAnsi"/>
              </w:rPr>
            </w:pPr>
            <w:r w:rsidRPr="009917E3">
              <w:rPr>
                <w:rFonts w:cstheme="minorHAnsi"/>
              </w:rPr>
              <w:t xml:space="preserve">W przypadku, gdy w trakcie danego kwartału </w:t>
            </w:r>
            <w:r w:rsidR="00C311CC" w:rsidRPr="009917E3">
              <w:rPr>
                <w:rFonts w:cstheme="minorHAnsi"/>
              </w:rPr>
              <w:t>Gmina</w:t>
            </w:r>
            <w:r w:rsidRPr="009917E3">
              <w:rPr>
                <w:rFonts w:cstheme="minorHAnsi"/>
              </w:rPr>
              <w:t xml:space="preserve">, występując w danym Schemacie Podatkowym w roli Wspomagającego, dokonała ich udostępnienia Kontrahentowi (Korzystającemu), Koordynator MDR w terminie 30 dni po zakończeniu kwartału, przygotowuje Kwartalną Informację o </w:t>
            </w:r>
            <w:r w:rsidRPr="009917E3">
              <w:rPr>
                <w:rFonts w:cstheme="minorHAnsi"/>
                <w:color w:val="000000"/>
              </w:rPr>
              <w:t>Udostępnieniu Schematu Podatkowego Standaryzowanego</w:t>
            </w:r>
            <w:r w:rsidRPr="009917E3">
              <w:rPr>
                <w:rFonts w:cstheme="minorHAnsi"/>
              </w:rPr>
              <w:t>.</w:t>
            </w:r>
          </w:p>
          <w:p w14:paraId="6741ED15" w14:textId="77777777" w:rsidR="00997930" w:rsidRPr="009917E3" w:rsidRDefault="00997930" w:rsidP="00997930">
            <w:pPr>
              <w:pStyle w:val="Akapitzlist"/>
              <w:numPr>
                <w:ilvl w:val="0"/>
                <w:numId w:val="38"/>
              </w:numPr>
              <w:spacing w:after="0" w:line="276" w:lineRule="auto"/>
              <w:jc w:val="both"/>
              <w:rPr>
                <w:rFonts w:cstheme="minorHAnsi"/>
              </w:rPr>
            </w:pPr>
            <w:r w:rsidRPr="009917E3">
              <w:rPr>
                <w:rFonts w:cstheme="minorHAnsi"/>
              </w:rPr>
              <w:t>Koordynator MDR przekazuje ją Osobie upoważnionej do reprezentacji.</w:t>
            </w:r>
          </w:p>
          <w:p w14:paraId="673119F7" w14:textId="77777777" w:rsidR="00997930" w:rsidRPr="009917E3" w:rsidRDefault="00997930" w:rsidP="00997930">
            <w:pPr>
              <w:pStyle w:val="Akapitzlist"/>
              <w:numPr>
                <w:ilvl w:val="0"/>
                <w:numId w:val="38"/>
              </w:numPr>
              <w:spacing w:after="0" w:line="276" w:lineRule="auto"/>
              <w:jc w:val="both"/>
              <w:rPr>
                <w:rFonts w:cstheme="minorHAnsi"/>
              </w:rPr>
            </w:pPr>
            <w:r w:rsidRPr="009917E3">
              <w:rPr>
                <w:rFonts w:cstheme="minorHAnsi"/>
              </w:rPr>
              <w:t>Osoba upoważniona do reprezentacji przekazuje ją do Szefa KAS nie później niż w terminie 30 dni po zakończeniu kwartału.</w:t>
            </w:r>
          </w:p>
          <w:p w14:paraId="61BE02AD" w14:textId="77777777" w:rsidR="00997930" w:rsidRPr="009917E3" w:rsidRDefault="00DE4D53" w:rsidP="00997930">
            <w:pPr>
              <w:pStyle w:val="Akapitzlist"/>
              <w:numPr>
                <w:ilvl w:val="0"/>
                <w:numId w:val="38"/>
              </w:numPr>
              <w:spacing w:after="0" w:line="276" w:lineRule="auto"/>
              <w:jc w:val="both"/>
              <w:rPr>
                <w:rFonts w:cstheme="minorHAnsi"/>
              </w:rPr>
            </w:pPr>
            <w:r w:rsidRPr="009917E3">
              <w:rPr>
                <w:rFonts w:cstheme="minorHAnsi"/>
              </w:rPr>
              <w:t xml:space="preserve">Archiwizator </w:t>
            </w:r>
            <w:r w:rsidR="00997930" w:rsidRPr="009917E3">
              <w:rPr>
                <w:rFonts w:cstheme="minorHAnsi"/>
              </w:rPr>
              <w:t xml:space="preserve">MDR archiwizuje </w:t>
            </w:r>
            <w:r w:rsidR="00997930" w:rsidRPr="009917E3">
              <w:rPr>
                <w:rFonts w:cstheme="minorHAnsi"/>
                <w:color w:val="000000"/>
              </w:rPr>
              <w:t xml:space="preserve">Kwartalną Informację o Udostępnieniu Schematu Podatkowego Standaryzowanego </w:t>
            </w:r>
            <w:r w:rsidR="00997930" w:rsidRPr="009917E3">
              <w:rPr>
                <w:rFonts w:cstheme="minorHAnsi"/>
              </w:rPr>
              <w:t>w BSP.</w:t>
            </w:r>
          </w:p>
        </w:tc>
      </w:tr>
      <w:tr w:rsidR="00997930" w:rsidRPr="006A2A46" w14:paraId="2FD2640C" w14:textId="77777777" w:rsidTr="00C9005D">
        <w:tblPrEx>
          <w:tblCellMar>
            <w:left w:w="108" w:type="dxa"/>
            <w:right w:w="108" w:type="dxa"/>
          </w:tblCellMar>
        </w:tblPrEx>
        <w:tc>
          <w:tcPr>
            <w:tcW w:w="10915" w:type="dxa"/>
            <w:gridSpan w:val="5"/>
            <w:shd w:val="clear" w:color="auto" w:fill="F4B083" w:themeFill="accent2" w:themeFillTint="99"/>
          </w:tcPr>
          <w:p w14:paraId="421EBA00" w14:textId="59BEFDDC" w:rsidR="00997930" w:rsidRPr="009917E3" w:rsidRDefault="00997930" w:rsidP="00997930">
            <w:pPr>
              <w:keepNext/>
              <w:spacing w:after="0" w:line="276" w:lineRule="auto"/>
              <w:ind w:left="1451" w:hanging="1451"/>
              <w:jc w:val="center"/>
              <w:outlineLvl w:val="0"/>
              <w:rPr>
                <w:rFonts w:ascii="Calibri" w:eastAsia="Times New Roman" w:hAnsi="Calibri" w:cs="Calibri"/>
                <w:b/>
                <w:bCs/>
                <w:color w:val="000000"/>
                <w:kern w:val="32"/>
                <w:sz w:val="32"/>
                <w:szCs w:val="32"/>
                <w:lang w:val="x-none" w:eastAsia="x-none"/>
              </w:rPr>
            </w:pPr>
            <w:bookmarkStart w:id="11" w:name="_Toc65505166"/>
            <w:r w:rsidRPr="009917E3">
              <w:rPr>
                <w:rFonts w:ascii="Calibri" w:eastAsia="Times New Roman" w:hAnsi="Calibri" w:cs="Calibri"/>
                <w:b/>
                <w:bCs/>
                <w:color w:val="000000"/>
                <w:kern w:val="32"/>
                <w:sz w:val="32"/>
                <w:szCs w:val="32"/>
                <w:lang w:eastAsia="x-none"/>
              </w:rPr>
              <w:t>PROCES</w:t>
            </w:r>
            <w:r w:rsidRPr="009917E3">
              <w:rPr>
                <w:rFonts w:ascii="Calibri" w:eastAsia="Times New Roman" w:hAnsi="Calibri" w:cs="Calibri"/>
                <w:b/>
                <w:bCs/>
                <w:color w:val="000000"/>
                <w:kern w:val="32"/>
                <w:sz w:val="32"/>
                <w:szCs w:val="32"/>
                <w:lang w:val="x-none" w:eastAsia="x-none"/>
              </w:rPr>
              <w:t xml:space="preserve"> 2</w:t>
            </w:r>
            <w:r w:rsidRPr="009917E3">
              <w:rPr>
                <w:rFonts w:ascii="Calibri" w:eastAsia="Times New Roman" w:hAnsi="Calibri" w:cs="Calibri"/>
                <w:b/>
                <w:bCs/>
                <w:color w:val="000000"/>
                <w:kern w:val="32"/>
                <w:sz w:val="32"/>
                <w:szCs w:val="32"/>
                <w:lang w:eastAsia="x-none"/>
              </w:rPr>
              <w:t>C</w:t>
            </w:r>
            <w:r w:rsidRPr="009917E3">
              <w:rPr>
                <w:rFonts w:ascii="Calibri" w:eastAsia="Times New Roman" w:hAnsi="Calibri" w:cs="Calibri"/>
                <w:b/>
                <w:bCs/>
                <w:color w:val="000000"/>
                <w:kern w:val="32"/>
                <w:sz w:val="32"/>
                <w:szCs w:val="32"/>
                <w:lang w:val="x-none" w:eastAsia="x-none"/>
              </w:rPr>
              <w:t xml:space="preserve">: Sposób postępowania w przypadku, gdy </w:t>
            </w:r>
            <w:r w:rsidR="00E86678" w:rsidRPr="009917E3">
              <w:rPr>
                <w:rFonts w:ascii="Calibri" w:eastAsia="Times New Roman" w:hAnsi="Calibri" w:cs="Calibri"/>
                <w:b/>
                <w:bCs/>
                <w:color w:val="000000"/>
                <w:kern w:val="32"/>
                <w:sz w:val="32"/>
                <w:szCs w:val="32"/>
                <w:lang w:eastAsia="x-none"/>
              </w:rPr>
              <w:t>Gmina</w:t>
            </w:r>
            <w:r w:rsidRPr="009917E3">
              <w:rPr>
                <w:rFonts w:ascii="Calibri" w:eastAsia="Times New Roman" w:hAnsi="Calibri" w:cs="Calibri"/>
                <w:b/>
                <w:bCs/>
                <w:color w:val="000000"/>
                <w:kern w:val="32"/>
                <w:sz w:val="32"/>
                <w:szCs w:val="32"/>
                <w:lang w:val="x-none" w:eastAsia="x-none"/>
              </w:rPr>
              <w:t xml:space="preserve"> występuje w roli Korzystającego</w:t>
            </w:r>
            <w:bookmarkEnd w:id="11"/>
          </w:p>
        </w:tc>
      </w:tr>
      <w:tr w:rsidR="00997930" w:rsidRPr="006A2A46" w14:paraId="23F280C8" w14:textId="77777777" w:rsidTr="00997930">
        <w:tblPrEx>
          <w:tblCellMar>
            <w:left w:w="108" w:type="dxa"/>
            <w:right w:w="108" w:type="dxa"/>
          </w:tblCellMar>
        </w:tblPrEx>
        <w:trPr>
          <w:trHeight w:val="405"/>
        </w:trPr>
        <w:tc>
          <w:tcPr>
            <w:tcW w:w="2408" w:type="dxa"/>
            <w:gridSpan w:val="3"/>
            <w:shd w:val="clear" w:color="auto" w:fill="FFFFFF"/>
          </w:tcPr>
          <w:p w14:paraId="3554F63A" w14:textId="77777777" w:rsidR="00997930" w:rsidRPr="009917E3"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9917E3">
              <w:rPr>
                <w:rFonts w:ascii="Calibri" w:eastAsia="Times New Roman" w:hAnsi="Calibri" w:cs="Calibri"/>
                <w:lang w:eastAsia="pl-PL"/>
              </w:rPr>
              <w:t xml:space="preserve">1. Raportowanie w przypadku współpracy </w:t>
            </w:r>
            <w:r w:rsidR="00C311CC" w:rsidRPr="009917E3">
              <w:rPr>
                <w:rFonts w:ascii="Calibri" w:eastAsia="Times New Roman" w:hAnsi="Calibri" w:cs="Calibri"/>
                <w:lang w:eastAsia="pl-PL"/>
              </w:rPr>
              <w:t>Gminy</w:t>
            </w:r>
            <w:r w:rsidRPr="009917E3">
              <w:rPr>
                <w:rFonts w:ascii="Calibri" w:eastAsia="Times New Roman" w:hAnsi="Calibri" w:cs="Calibri"/>
                <w:lang w:eastAsia="pl-PL"/>
              </w:rPr>
              <w:t xml:space="preserve"> z Promotorem</w:t>
            </w:r>
          </w:p>
        </w:tc>
        <w:tc>
          <w:tcPr>
            <w:tcW w:w="8507" w:type="dxa"/>
            <w:gridSpan w:val="2"/>
            <w:shd w:val="clear" w:color="auto" w:fill="FFFFFF"/>
          </w:tcPr>
          <w:p w14:paraId="1776EF0E" w14:textId="77777777" w:rsidR="00997930" w:rsidRPr="009917E3" w:rsidRDefault="00997930" w:rsidP="00997930">
            <w:pPr>
              <w:numPr>
                <w:ilvl w:val="0"/>
                <w:numId w:val="17"/>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 xml:space="preserve">W przypadku, gdy Koordynator MDR </w:t>
            </w:r>
            <w:r w:rsidR="00D16A42" w:rsidRPr="009917E3">
              <w:rPr>
                <w:rFonts w:ascii="Calibri" w:eastAsia="Times New Roman" w:hAnsi="Calibri" w:cs="Calibri"/>
                <w:lang w:eastAsia="pl-PL"/>
              </w:rPr>
              <w:t xml:space="preserve">(na prośbę odpowiedniego Pracownika) </w:t>
            </w:r>
            <w:r w:rsidRPr="009917E3">
              <w:rPr>
                <w:rFonts w:ascii="Calibri" w:eastAsia="Times New Roman" w:hAnsi="Calibri" w:cs="Calibri"/>
                <w:lang w:eastAsia="pl-PL"/>
              </w:rPr>
              <w:t>w wyniku wstępnej weryfikacji</w:t>
            </w:r>
            <w:r w:rsidR="00D16A42" w:rsidRPr="009917E3">
              <w:rPr>
                <w:rFonts w:ascii="Calibri" w:eastAsia="Times New Roman" w:hAnsi="Calibri" w:cs="Calibri"/>
                <w:lang w:eastAsia="pl-PL"/>
              </w:rPr>
              <w:t xml:space="preserve"> </w:t>
            </w:r>
            <w:r w:rsidRPr="009917E3">
              <w:rPr>
                <w:rFonts w:ascii="Calibri" w:eastAsia="Times New Roman" w:hAnsi="Calibri" w:cs="Calibri"/>
                <w:lang w:eastAsia="pl-PL"/>
              </w:rPr>
              <w:t xml:space="preserve">określi rolę </w:t>
            </w:r>
            <w:r w:rsidR="00C311CC" w:rsidRPr="009917E3">
              <w:rPr>
                <w:rFonts w:ascii="Calibri" w:eastAsia="Times New Roman" w:hAnsi="Calibri" w:cs="Calibri"/>
                <w:lang w:eastAsia="pl-PL"/>
              </w:rPr>
              <w:t>Gminy</w:t>
            </w:r>
            <w:r w:rsidRPr="009917E3">
              <w:rPr>
                <w:rFonts w:ascii="Calibri" w:eastAsia="Times New Roman" w:hAnsi="Calibri" w:cs="Calibri"/>
                <w:lang w:eastAsia="pl-PL"/>
              </w:rPr>
              <w:t xml:space="preserve"> w danym Schemacie Podatkowym jako Korzystającego, w terminie 5 dni od dnia następującego po Udostępnieniu </w:t>
            </w:r>
            <w:r w:rsidR="00C311CC" w:rsidRPr="009917E3">
              <w:rPr>
                <w:rFonts w:ascii="Calibri" w:eastAsia="Times New Roman" w:hAnsi="Calibri" w:cs="Calibri"/>
                <w:lang w:eastAsia="pl-PL"/>
              </w:rPr>
              <w:t>Gminie</w:t>
            </w:r>
            <w:r w:rsidRPr="009917E3">
              <w:rPr>
                <w:rFonts w:ascii="Calibri" w:eastAsia="Times New Roman" w:hAnsi="Calibri" w:cs="Calibri"/>
                <w:lang w:eastAsia="pl-PL"/>
              </w:rPr>
              <w:t xml:space="preserve"> Schematu Podatkowego, przygotowaniu przez niego Schematu Podatkowego do Wdrożenia lub od dnia dokonania pierwszej czynności związanej z Wdrażaniem Schematu Podatkowego przez </w:t>
            </w:r>
            <w:r w:rsidR="00C311CC" w:rsidRPr="009917E3">
              <w:rPr>
                <w:rFonts w:ascii="Calibri" w:eastAsia="Times New Roman" w:hAnsi="Calibri" w:cs="Calibri"/>
                <w:lang w:eastAsia="pl-PL"/>
              </w:rPr>
              <w:t>Gminę</w:t>
            </w:r>
            <w:r w:rsidRPr="009917E3">
              <w:rPr>
                <w:rFonts w:ascii="Calibri" w:eastAsia="Times New Roman" w:hAnsi="Calibri" w:cs="Calibri"/>
                <w:lang w:eastAsia="pl-PL"/>
              </w:rPr>
              <w:t xml:space="preserve"> (w zależności od tego, które z tych zdarzeń nastąpi wcześniej), występuje do Promotora, w formie elektronicznej (e-mail) z prośbą o informację, czy Promotor przekaże Szefowi KAS Informację o Schemacie Podatkowym.</w:t>
            </w:r>
          </w:p>
          <w:p w14:paraId="48BDB9B6" w14:textId="77777777" w:rsidR="00997930" w:rsidRPr="009917E3" w:rsidRDefault="00997930" w:rsidP="00997930">
            <w:pPr>
              <w:numPr>
                <w:ilvl w:val="0"/>
                <w:numId w:val="17"/>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Jeżeli Promotor potwierdzi, że złoży Informację o Schemacie Podatkowym do Szefa KAS, Koordynator MDR zwraca się do Promotora z prośba o przekazanie (i) NSP Schematu Podatkowego wraz z potwierdzeniem nadania NSP lub (ii) informacji, że Schemat Podatkowy nie posiada jeszcze NSP, wraz z danymi niezbędnymi do złożenia Informacji o Schemacie Podatkowym.</w:t>
            </w:r>
          </w:p>
          <w:p w14:paraId="318A5BDA" w14:textId="77777777" w:rsidR="00997930" w:rsidRPr="009917E3" w:rsidRDefault="00997930" w:rsidP="00997930">
            <w:pPr>
              <w:numPr>
                <w:ilvl w:val="0"/>
                <w:numId w:val="17"/>
              </w:numPr>
              <w:spacing w:after="0" w:line="276" w:lineRule="auto"/>
              <w:contextualSpacing/>
              <w:rPr>
                <w:rFonts w:ascii="Calibri" w:eastAsia="Times New Roman" w:hAnsi="Calibri" w:cs="Calibri"/>
                <w:lang w:eastAsia="pl-PL"/>
              </w:rPr>
            </w:pPr>
            <w:r w:rsidRPr="009917E3">
              <w:rPr>
                <w:rFonts w:ascii="Calibri" w:eastAsia="Times New Roman" w:hAnsi="Calibri" w:cs="Calibri"/>
                <w:lang w:eastAsia="pl-PL"/>
              </w:rPr>
              <w:t xml:space="preserve">W przypadku otrzymania informacji, że Promotor dopełni powyższych obowiązków, </w:t>
            </w:r>
            <w:r w:rsidR="00D16A42" w:rsidRPr="009917E3">
              <w:rPr>
                <w:rFonts w:ascii="Calibri" w:eastAsia="Times New Roman" w:hAnsi="Calibri" w:cs="Calibri"/>
                <w:lang w:eastAsia="pl-PL"/>
              </w:rPr>
              <w:t>Archiwizator</w:t>
            </w:r>
            <w:r w:rsidRPr="009917E3">
              <w:rPr>
                <w:rFonts w:ascii="Calibri" w:eastAsia="Times New Roman" w:hAnsi="Calibri" w:cs="Calibri"/>
                <w:lang w:eastAsia="pl-PL"/>
              </w:rPr>
              <w:t xml:space="preserve"> MDR archiwizuje te informacje w BSP.</w:t>
            </w:r>
          </w:p>
        </w:tc>
      </w:tr>
      <w:tr w:rsidR="00997930" w:rsidRPr="006A2A46" w14:paraId="479D9F5D" w14:textId="77777777" w:rsidTr="00997930">
        <w:tblPrEx>
          <w:tblCellMar>
            <w:left w:w="108" w:type="dxa"/>
            <w:right w:w="108" w:type="dxa"/>
          </w:tblCellMar>
        </w:tblPrEx>
        <w:trPr>
          <w:trHeight w:val="405"/>
        </w:trPr>
        <w:tc>
          <w:tcPr>
            <w:tcW w:w="2408" w:type="dxa"/>
            <w:gridSpan w:val="3"/>
            <w:shd w:val="clear" w:color="auto" w:fill="FFFFFF"/>
          </w:tcPr>
          <w:p w14:paraId="2943302E" w14:textId="77777777" w:rsidR="00997930" w:rsidRPr="009917E3"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9917E3">
              <w:rPr>
                <w:rFonts w:ascii="Calibri" w:eastAsia="Times New Roman" w:hAnsi="Calibri" w:cs="Calibri"/>
                <w:lang w:eastAsia="pl-PL"/>
              </w:rPr>
              <w:t xml:space="preserve">2. Raportowanie w przypadku nieprzekazania danych przez Promotora lub niemożnością raportowania przez Promotora ze względu na konieczność zachowania prawnie chronionej Tajemnicy </w:t>
            </w:r>
            <w:r w:rsidRPr="009917E3">
              <w:rPr>
                <w:rFonts w:ascii="Calibri" w:eastAsia="Times New Roman" w:hAnsi="Calibri" w:cs="Calibri"/>
                <w:lang w:eastAsia="pl-PL"/>
              </w:rPr>
              <w:lastRenderedPageBreak/>
              <w:t>Zawodowej</w:t>
            </w:r>
          </w:p>
        </w:tc>
        <w:tc>
          <w:tcPr>
            <w:tcW w:w="8507" w:type="dxa"/>
            <w:gridSpan w:val="2"/>
            <w:shd w:val="clear" w:color="auto" w:fill="FFFFFF"/>
          </w:tcPr>
          <w:p w14:paraId="119C1F0B" w14:textId="77777777" w:rsidR="00997930" w:rsidRPr="009917E3" w:rsidRDefault="00997930" w:rsidP="00997930">
            <w:pPr>
              <w:numPr>
                <w:ilvl w:val="0"/>
                <w:numId w:val="18"/>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lastRenderedPageBreak/>
              <w:t xml:space="preserve">Jeżeli </w:t>
            </w:r>
            <w:r w:rsidR="00C311CC" w:rsidRPr="009917E3">
              <w:rPr>
                <w:rFonts w:ascii="Calibri" w:eastAsia="Times New Roman" w:hAnsi="Calibri" w:cs="Calibri"/>
                <w:lang w:eastAsia="pl-PL"/>
              </w:rPr>
              <w:t>Gmina</w:t>
            </w:r>
            <w:r w:rsidRPr="009917E3">
              <w:rPr>
                <w:rFonts w:ascii="Calibri" w:eastAsia="Times New Roman" w:hAnsi="Calibri" w:cs="Calibri"/>
                <w:lang w:eastAsia="pl-PL"/>
              </w:rPr>
              <w:t>:</w:t>
            </w:r>
          </w:p>
          <w:p w14:paraId="2D5FA3AB" w14:textId="77777777" w:rsidR="00997930" w:rsidRPr="009917E3" w:rsidRDefault="00997930" w:rsidP="00997930">
            <w:pPr>
              <w:numPr>
                <w:ilvl w:val="0"/>
                <w:numId w:val="10"/>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nie został</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poinformowan</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przez Promotora w danym Schemacie Podatkowym: </w:t>
            </w:r>
          </w:p>
          <w:p w14:paraId="49169337" w14:textId="77777777" w:rsidR="00997930" w:rsidRPr="009917E3" w:rsidRDefault="00997930" w:rsidP="00997930">
            <w:pPr>
              <w:numPr>
                <w:ilvl w:val="5"/>
                <w:numId w:val="13"/>
              </w:numPr>
              <w:spacing w:after="0" w:line="276" w:lineRule="auto"/>
              <w:ind w:left="1281"/>
              <w:jc w:val="both"/>
              <w:rPr>
                <w:rFonts w:ascii="Calibri" w:eastAsia="Times New Roman" w:hAnsi="Calibri" w:cs="Calibri"/>
                <w:lang w:eastAsia="pl-PL"/>
              </w:rPr>
            </w:pPr>
            <w:r w:rsidRPr="009917E3">
              <w:rPr>
                <w:rFonts w:ascii="Calibri" w:eastAsia="Times New Roman" w:hAnsi="Calibri" w:cs="Calibri"/>
                <w:lang w:eastAsia="pl-PL"/>
              </w:rPr>
              <w:t>o NSP Schematu Podatkowego wraz z potwierdzeniem nadania NSP lub</w:t>
            </w:r>
          </w:p>
          <w:p w14:paraId="021A7263" w14:textId="77777777" w:rsidR="00997930" w:rsidRPr="009917E3" w:rsidRDefault="00997930" w:rsidP="00997930">
            <w:pPr>
              <w:numPr>
                <w:ilvl w:val="5"/>
                <w:numId w:val="13"/>
              </w:numPr>
              <w:spacing w:after="0" w:line="276" w:lineRule="auto"/>
              <w:ind w:left="1281"/>
              <w:jc w:val="both"/>
              <w:rPr>
                <w:rFonts w:ascii="Calibri" w:eastAsia="Times New Roman" w:hAnsi="Calibri" w:cs="Calibri"/>
                <w:lang w:eastAsia="pl-PL"/>
              </w:rPr>
            </w:pPr>
            <w:r w:rsidRPr="009917E3">
              <w:rPr>
                <w:rFonts w:ascii="Calibri" w:eastAsia="Times New Roman" w:hAnsi="Calibri" w:cs="Calibri"/>
                <w:lang w:eastAsia="pl-PL"/>
              </w:rPr>
              <w:t>o tym, że Schemat Podatkowy nie posiada jeszcze NSP, wraz z danymi niezbędnymi do złożenia Informacji o Schemacie Podatkowym, lub</w:t>
            </w:r>
          </w:p>
          <w:p w14:paraId="4BA2E56E" w14:textId="77777777" w:rsidR="00997930" w:rsidRPr="009917E3" w:rsidRDefault="00997930" w:rsidP="00997930">
            <w:pPr>
              <w:numPr>
                <w:ilvl w:val="0"/>
                <w:numId w:val="10"/>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t>został</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poinformowan</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przez Promotora w danym Schemacie Podatkowym Niestandaryzowanym o obowiązku przekazania Schematu Podatkowego do Szefa KAS (ze względu na naruszenie obowiązku zachowania prawnie chronionej Tajemnicy Zawodowej Promotora oraz brak zwolnienia Promotora z obowiązku jej zachowania w tym zakresie), lub</w:t>
            </w:r>
          </w:p>
          <w:p w14:paraId="43487FE9" w14:textId="77777777" w:rsidR="00997930" w:rsidRPr="009917E3" w:rsidRDefault="00997930" w:rsidP="00997930">
            <w:pPr>
              <w:numPr>
                <w:ilvl w:val="0"/>
                <w:numId w:val="10"/>
              </w:numPr>
              <w:spacing w:after="0" w:line="276" w:lineRule="auto"/>
              <w:jc w:val="both"/>
              <w:rPr>
                <w:rFonts w:ascii="Calibri" w:eastAsia="Times New Roman" w:hAnsi="Calibri" w:cs="Calibri"/>
                <w:lang w:eastAsia="pl-PL"/>
              </w:rPr>
            </w:pPr>
            <w:r w:rsidRPr="009917E3">
              <w:rPr>
                <w:rFonts w:ascii="Calibri" w:eastAsia="Times New Roman" w:hAnsi="Calibri" w:cs="Calibri"/>
                <w:lang w:eastAsia="pl-PL"/>
              </w:rPr>
              <w:lastRenderedPageBreak/>
              <w:t>w każdym innym przypadku został</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poinformowan</w:t>
            </w:r>
            <w:r w:rsidR="00C311CC" w:rsidRPr="009917E3">
              <w:rPr>
                <w:rFonts w:ascii="Calibri" w:eastAsia="Times New Roman" w:hAnsi="Calibri" w:cs="Calibri"/>
                <w:lang w:eastAsia="pl-PL"/>
              </w:rPr>
              <w:t>a</w:t>
            </w:r>
            <w:r w:rsidRPr="009917E3">
              <w:rPr>
                <w:rFonts w:ascii="Calibri" w:eastAsia="Times New Roman" w:hAnsi="Calibri" w:cs="Calibri"/>
                <w:lang w:eastAsia="pl-PL"/>
              </w:rPr>
              <w:t xml:space="preserve"> przez Promotora o braku złożenia Informacji o Schemacie Podatkowym</w:t>
            </w:r>
          </w:p>
          <w:p w14:paraId="4F5FDB0B" w14:textId="77777777" w:rsidR="00997930" w:rsidRPr="009917E3" w:rsidRDefault="00997930" w:rsidP="00997930">
            <w:pPr>
              <w:spacing w:after="0" w:line="276" w:lineRule="auto"/>
              <w:ind w:left="425"/>
              <w:jc w:val="both"/>
              <w:rPr>
                <w:rFonts w:ascii="Calibri" w:eastAsia="Times New Roman" w:hAnsi="Calibri" w:cs="Calibri"/>
                <w:lang w:eastAsia="pl-PL"/>
              </w:rPr>
            </w:pPr>
            <w:r w:rsidRPr="009917E3">
              <w:rPr>
                <w:rFonts w:ascii="Calibri" w:eastAsia="Times New Roman" w:hAnsi="Calibri" w:cs="Calibri"/>
                <w:lang w:eastAsia="pl-PL"/>
              </w:rPr>
              <w:t xml:space="preserve">w powyższych przypadkach Koordynator MDR niezwłocznie, nie później niż w terminie 30 dni od dnia następującego po Udostępnieniu </w:t>
            </w:r>
            <w:r w:rsidR="00C311CC" w:rsidRPr="009917E3">
              <w:rPr>
                <w:rFonts w:ascii="Calibri" w:eastAsia="Times New Roman" w:hAnsi="Calibri" w:cs="Calibri"/>
                <w:lang w:eastAsia="pl-PL"/>
              </w:rPr>
              <w:t>Gminie</w:t>
            </w:r>
            <w:r w:rsidRPr="009917E3">
              <w:rPr>
                <w:rFonts w:ascii="Calibri" w:eastAsia="Times New Roman" w:hAnsi="Calibri" w:cs="Calibri"/>
                <w:lang w:eastAsia="pl-PL"/>
              </w:rPr>
              <w:t xml:space="preserve"> Schematu Podatkowego, przygotowaniu przez niego Schematu Podatkowego do Wdrożenia lub od dnia dokonania pierwszej czynności związanej z Wdrażaniem Schematu Podatkowego przez </w:t>
            </w:r>
            <w:r w:rsidR="00C311CC" w:rsidRPr="009917E3">
              <w:rPr>
                <w:rFonts w:ascii="Calibri" w:eastAsia="Times New Roman" w:hAnsi="Calibri" w:cs="Calibri"/>
                <w:lang w:eastAsia="pl-PL"/>
              </w:rPr>
              <w:t>Gminę</w:t>
            </w:r>
            <w:r w:rsidRPr="009917E3">
              <w:rPr>
                <w:rFonts w:ascii="Calibri" w:eastAsia="Times New Roman" w:hAnsi="Calibri" w:cs="Calibri"/>
                <w:lang w:eastAsia="pl-PL"/>
              </w:rPr>
              <w:t xml:space="preserve"> (w  zależności od tego, które z tych zdarzeń nastąpi wcześniej), przygotowuje Informację o Schemacie Podatkowym.</w:t>
            </w:r>
          </w:p>
          <w:p w14:paraId="2B632730" w14:textId="77777777" w:rsidR="00997930" w:rsidRPr="009917E3" w:rsidRDefault="00997930" w:rsidP="00997930">
            <w:pPr>
              <w:numPr>
                <w:ilvl w:val="0"/>
                <w:numId w:val="18"/>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 xml:space="preserve">Osoba upoważniona do reprezentowania </w:t>
            </w:r>
            <w:r w:rsidR="00C311CC" w:rsidRPr="009917E3">
              <w:rPr>
                <w:rFonts w:ascii="Calibri" w:eastAsia="Times New Roman" w:hAnsi="Calibri" w:cs="Calibri"/>
                <w:lang w:eastAsia="pl-PL"/>
              </w:rPr>
              <w:t>Gminy</w:t>
            </w:r>
            <w:r w:rsidR="00D16A42" w:rsidRPr="009917E3">
              <w:rPr>
                <w:rFonts w:ascii="Calibri" w:eastAsia="Times New Roman" w:hAnsi="Calibri" w:cs="Calibri"/>
                <w:lang w:eastAsia="pl-PL"/>
              </w:rPr>
              <w:t xml:space="preserve"> </w:t>
            </w:r>
            <w:r w:rsidRPr="009917E3">
              <w:rPr>
                <w:rFonts w:ascii="Calibri" w:eastAsia="Times New Roman" w:hAnsi="Calibri" w:cs="Calibri"/>
                <w:lang w:eastAsia="pl-PL"/>
              </w:rPr>
              <w:t xml:space="preserve">podpisuje Informację o Schemacie Podatkowym i przesyła do Szefa KAS nie później niż w terminie 30 dni od dnia następującego po Udostępnieniu </w:t>
            </w:r>
            <w:r w:rsidR="004D3BF7" w:rsidRPr="009917E3">
              <w:rPr>
                <w:rFonts w:ascii="Calibri" w:eastAsia="Times New Roman" w:hAnsi="Calibri" w:cs="Calibri"/>
                <w:lang w:eastAsia="pl-PL"/>
              </w:rPr>
              <w:t>Gminie</w:t>
            </w:r>
            <w:r w:rsidRPr="009917E3">
              <w:rPr>
                <w:rFonts w:ascii="Calibri" w:eastAsia="Times New Roman" w:hAnsi="Calibri" w:cs="Calibri"/>
                <w:lang w:eastAsia="pl-PL"/>
              </w:rPr>
              <w:t xml:space="preserve"> Schematu Podatkowego, przygotowaniu przez niego Schematu Podatkowego do Wdrożenia lub od dnia dokonania pierwszej czynności związanej z Wdrażaniem Schematu Podatkowego przez </w:t>
            </w:r>
            <w:r w:rsidR="004D3BF7" w:rsidRPr="009917E3">
              <w:rPr>
                <w:rFonts w:ascii="Calibri" w:eastAsia="Times New Roman" w:hAnsi="Calibri" w:cs="Calibri"/>
                <w:lang w:eastAsia="pl-PL"/>
              </w:rPr>
              <w:t>Gminę</w:t>
            </w:r>
            <w:r w:rsidRPr="009917E3">
              <w:rPr>
                <w:rFonts w:ascii="Calibri" w:eastAsia="Times New Roman" w:hAnsi="Calibri" w:cs="Calibri"/>
                <w:lang w:eastAsia="pl-PL"/>
              </w:rPr>
              <w:t xml:space="preserve"> (w zależności od tego, które z tych zdarzeń nastąpi wcześniej).</w:t>
            </w:r>
          </w:p>
          <w:p w14:paraId="15E32F63" w14:textId="77777777" w:rsidR="00997930" w:rsidRPr="009917E3" w:rsidRDefault="00D16A42" w:rsidP="00997930">
            <w:pPr>
              <w:numPr>
                <w:ilvl w:val="0"/>
                <w:numId w:val="18"/>
              </w:numPr>
              <w:spacing w:after="0" w:line="276" w:lineRule="auto"/>
              <w:contextualSpacing/>
              <w:jc w:val="both"/>
              <w:rPr>
                <w:rFonts w:ascii="Calibri" w:eastAsia="Times New Roman" w:hAnsi="Calibri" w:cs="Calibri"/>
                <w:lang w:eastAsia="pl-PL"/>
              </w:rPr>
            </w:pPr>
            <w:r w:rsidRPr="009917E3">
              <w:rPr>
                <w:rFonts w:ascii="Calibri" w:eastAsia="Times New Roman" w:hAnsi="Calibri" w:cs="Calibri"/>
                <w:lang w:eastAsia="pl-PL"/>
              </w:rPr>
              <w:t xml:space="preserve">Archiwizator </w:t>
            </w:r>
            <w:r w:rsidR="00997930" w:rsidRPr="009917E3">
              <w:rPr>
                <w:rFonts w:ascii="Calibri" w:eastAsia="Times New Roman" w:hAnsi="Calibri" w:cs="Calibri"/>
                <w:lang w:eastAsia="pl-PL"/>
              </w:rPr>
              <w:t>MDR archiwizuje Informację o Schemacie Podatkowym w BSP.</w:t>
            </w:r>
          </w:p>
        </w:tc>
      </w:tr>
      <w:tr w:rsidR="00C311CC" w:rsidRPr="006A2A46" w14:paraId="1C3CC9B8" w14:textId="77777777" w:rsidTr="00997930">
        <w:tblPrEx>
          <w:tblCellMar>
            <w:left w:w="108" w:type="dxa"/>
            <w:right w:w="108" w:type="dxa"/>
          </w:tblCellMar>
        </w:tblPrEx>
        <w:trPr>
          <w:trHeight w:val="405"/>
        </w:trPr>
        <w:tc>
          <w:tcPr>
            <w:tcW w:w="2408" w:type="dxa"/>
            <w:gridSpan w:val="3"/>
            <w:shd w:val="clear" w:color="auto" w:fill="FFFFFF"/>
          </w:tcPr>
          <w:p w14:paraId="04F787AF" w14:textId="77777777" w:rsidR="00C311CC" w:rsidRPr="009917E3" w:rsidRDefault="00C311CC" w:rsidP="00C311CC">
            <w:pPr>
              <w:widowControl w:val="0"/>
              <w:autoSpaceDE w:val="0"/>
              <w:autoSpaceDN w:val="0"/>
              <w:adjustRightInd w:val="0"/>
              <w:spacing w:after="0"/>
              <w:rPr>
                <w:rFonts w:cstheme="minorHAnsi"/>
              </w:rPr>
            </w:pPr>
            <w:r w:rsidRPr="009917E3">
              <w:rPr>
                <w:rFonts w:cstheme="minorHAnsi"/>
              </w:rPr>
              <w:lastRenderedPageBreak/>
              <w:t xml:space="preserve">3. </w:t>
            </w:r>
            <w:bookmarkStart w:id="12" w:name="_Toc532227577"/>
            <w:r w:rsidRPr="009917E3">
              <w:rPr>
                <w:rFonts w:cstheme="minorHAnsi"/>
              </w:rPr>
              <w:t>Raportowanie w przypadku, gdy Gmina nie współpracuje z Promotorem</w:t>
            </w:r>
            <w:bookmarkEnd w:id="12"/>
          </w:p>
        </w:tc>
        <w:tc>
          <w:tcPr>
            <w:tcW w:w="8507" w:type="dxa"/>
            <w:gridSpan w:val="2"/>
            <w:shd w:val="clear" w:color="auto" w:fill="FFFFFF"/>
          </w:tcPr>
          <w:p w14:paraId="271CF056" w14:textId="77777777" w:rsidR="00C311CC" w:rsidRPr="009917E3" w:rsidRDefault="00C311CC" w:rsidP="00C311CC">
            <w:pPr>
              <w:pStyle w:val="Akapitzlist"/>
              <w:spacing w:after="0"/>
              <w:ind w:left="360"/>
              <w:jc w:val="both"/>
              <w:rPr>
                <w:rFonts w:cstheme="minorHAnsi"/>
              </w:rPr>
            </w:pPr>
            <w:r w:rsidRPr="009917E3">
              <w:rPr>
                <w:rFonts w:cstheme="minorHAnsi"/>
              </w:rPr>
              <w:t xml:space="preserve">Jeżeli w danym Schemacie Podatkowym żadnemu z podmiotów nie można przypisać roli Promotora, postępuje </w:t>
            </w:r>
            <w:r w:rsidR="00D16A42" w:rsidRPr="009917E3">
              <w:rPr>
                <w:rFonts w:cstheme="minorHAnsi"/>
              </w:rPr>
              <w:t xml:space="preserve">się </w:t>
            </w:r>
            <w:r w:rsidRPr="009917E3">
              <w:rPr>
                <w:rFonts w:cstheme="minorHAnsi"/>
              </w:rPr>
              <w:t>według zasad opisanych w Kroku 2 powyżej.</w:t>
            </w:r>
          </w:p>
        </w:tc>
      </w:tr>
      <w:tr w:rsidR="00C311CC" w:rsidRPr="006A2A46" w14:paraId="1E0839AE" w14:textId="77777777" w:rsidTr="00997930">
        <w:tblPrEx>
          <w:tblCellMar>
            <w:left w:w="108" w:type="dxa"/>
            <w:right w:w="108" w:type="dxa"/>
          </w:tblCellMar>
        </w:tblPrEx>
        <w:trPr>
          <w:trHeight w:val="405"/>
        </w:trPr>
        <w:tc>
          <w:tcPr>
            <w:tcW w:w="2408" w:type="dxa"/>
            <w:gridSpan w:val="3"/>
            <w:shd w:val="clear" w:color="auto" w:fill="FFFFFF"/>
          </w:tcPr>
          <w:p w14:paraId="63134D57" w14:textId="77777777" w:rsidR="00C311CC" w:rsidRPr="009917E3" w:rsidRDefault="00C311CC" w:rsidP="00C311CC">
            <w:pPr>
              <w:widowControl w:val="0"/>
              <w:autoSpaceDE w:val="0"/>
              <w:autoSpaceDN w:val="0"/>
              <w:adjustRightInd w:val="0"/>
              <w:spacing w:after="0"/>
              <w:rPr>
                <w:rFonts w:cstheme="minorHAnsi"/>
              </w:rPr>
            </w:pPr>
            <w:r w:rsidRPr="009917E3">
              <w:rPr>
                <w:rFonts w:cstheme="minorHAnsi"/>
              </w:rPr>
              <w:t xml:space="preserve">4. Raportowanie w przypadku, gdy Gmina zleca podmiotowi trzeciemu (Wspomagającemu) wykonanie czynności w ramach Schematu Podatkowego </w:t>
            </w:r>
          </w:p>
        </w:tc>
        <w:tc>
          <w:tcPr>
            <w:tcW w:w="8507" w:type="dxa"/>
            <w:gridSpan w:val="2"/>
            <w:shd w:val="clear" w:color="auto" w:fill="FFFFFF"/>
          </w:tcPr>
          <w:p w14:paraId="768AF6F7" w14:textId="77777777" w:rsidR="00C311CC" w:rsidRPr="009917E3" w:rsidRDefault="00C311CC" w:rsidP="00C311CC">
            <w:pPr>
              <w:pStyle w:val="Akapitzlist"/>
              <w:spacing w:after="0"/>
              <w:ind w:left="360"/>
              <w:jc w:val="both"/>
              <w:rPr>
                <w:rFonts w:cstheme="minorHAnsi"/>
              </w:rPr>
            </w:pPr>
            <w:r w:rsidRPr="009917E3">
              <w:rPr>
                <w:rFonts w:cstheme="minorHAnsi"/>
              </w:rPr>
              <w:t>Jeżeli Gmina zleca podmiotowi trzeciemu (Wspomagającemu) wykonanie czynności pozostających w zakresie jej działania w odniesieniu do danego Schematu Podatkowego, Koordynator MDR informuje pisemnie Wspomagającego o NSP tego Schematu Podatkowego, załączając potwierdzenie nadania NSP, najpóźniej w dniu poprzedzającym wykonanie tych czynności.</w:t>
            </w:r>
          </w:p>
          <w:p w14:paraId="4C31654E" w14:textId="77777777" w:rsidR="00C311CC" w:rsidRPr="009917E3" w:rsidRDefault="00C311CC" w:rsidP="00C311CC">
            <w:pPr>
              <w:pStyle w:val="Akapitzlist"/>
              <w:spacing w:after="0"/>
              <w:ind w:left="360"/>
              <w:jc w:val="both"/>
              <w:rPr>
                <w:rFonts w:cstheme="minorHAnsi"/>
              </w:rPr>
            </w:pPr>
            <w:r w:rsidRPr="009917E3">
              <w:rPr>
                <w:rFonts w:cstheme="minorHAnsi"/>
              </w:rPr>
              <w:t>W przypadku, gdy Schemat Podatkowy nie posiada jeszcze NSP, Koordynator MDR informuje o tym pisemnie Wspomagającego oraz przekazuje mu dane dotyczące Schematu Podatkowego.</w:t>
            </w:r>
          </w:p>
        </w:tc>
      </w:tr>
      <w:tr w:rsidR="006748B8" w:rsidRPr="006A2A46" w14:paraId="18098D95" w14:textId="77777777" w:rsidTr="00C9005D">
        <w:tblPrEx>
          <w:tblCellMar>
            <w:left w:w="108" w:type="dxa"/>
            <w:right w:w="108" w:type="dxa"/>
          </w:tblCellMar>
        </w:tblPrEx>
        <w:tc>
          <w:tcPr>
            <w:tcW w:w="10915" w:type="dxa"/>
            <w:gridSpan w:val="5"/>
            <w:shd w:val="clear" w:color="auto" w:fill="F4B083" w:themeFill="accent2" w:themeFillTint="99"/>
          </w:tcPr>
          <w:p w14:paraId="00B0C1DB" w14:textId="28F56C7D" w:rsidR="006748B8" w:rsidRPr="006748B8" w:rsidRDefault="006748B8" w:rsidP="006748B8">
            <w:pPr>
              <w:keepNext/>
              <w:spacing w:after="0" w:line="276" w:lineRule="auto"/>
              <w:jc w:val="center"/>
              <w:outlineLvl w:val="0"/>
              <w:rPr>
                <w:rFonts w:ascii="Calibri" w:eastAsia="Times New Roman" w:hAnsi="Calibri" w:cs="Calibri"/>
                <w:b/>
                <w:bCs/>
                <w:color w:val="000000"/>
                <w:kern w:val="32"/>
                <w:sz w:val="32"/>
                <w:szCs w:val="32"/>
                <w:lang w:eastAsia="x-none"/>
              </w:rPr>
            </w:pPr>
            <w:bookmarkStart w:id="13" w:name="_Toc535247519"/>
            <w:bookmarkStart w:id="14" w:name="_Toc535248769"/>
            <w:bookmarkStart w:id="15" w:name="_Toc535312862"/>
            <w:bookmarkStart w:id="16" w:name="_Toc535313063"/>
            <w:bookmarkStart w:id="17" w:name="_Toc22912867"/>
            <w:bookmarkStart w:id="18" w:name="_Toc65505167"/>
            <w:r>
              <w:rPr>
                <w:rFonts w:cstheme="minorHAnsi"/>
                <w:b/>
                <w:sz w:val="32"/>
                <w:szCs w:val="32"/>
              </w:rPr>
              <w:t xml:space="preserve">PROCES 3: </w:t>
            </w:r>
            <w:r w:rsidRPr="006748B8">
              <w:rPr>
                <w:rFonts w:cstheme="minorHAnsi"/>
                <w:b/>
                <w:sz w:val="32"/>
                <w:szCs w:val="32"/>
              </w:rPr>
              <w:t xml:space="preserve">Postępowanie w przypadku zbiegu ról </w:t>
            </w:r>
            <w:r w:rsidR="00E86678">
              <w:rPr>
                <w:rFonts w:cstheme="minorHAnsi"/>
                <w:b/>
                <w:sz w:val="32"/>
                <w:szCs w:val="32"/>
              </w:rPr>
              <w:t>Gminy</w:t>
            </w:r>
            <w:r w:rsidRPr="006748B8">
              <w:rPr>
                <w:rFonts w:cstheme="minorHAnsi"/>
                <w:b/>
                <w:sz w:val="32"/>
                <w:szCs w:val="32"/>
              </w:rPr>
              <w:t xml:space="preserve"> w procesie raportowania</w:t>
            </w:r>
            <w:bookmarkEnd w:id="13"/>
            <w:bookmarkEnd w:id="14"/>
            <w:bookmarkEnd w:id="15"/>
            <w:bookmarkEnd w:id="16"/>
            <w:bookmarkEnd w:id="17"/>
            <w:bookmarkEnd w:id="18"/>
          </w:p>
        </w:tc>
      </w:tr>
      <w:tr w:rsidR="006748B8" w:rsidRPr="006A2A46" w14:paraId="6A751C0E" w14:textId="77777777" w:rsidTr="006748B8">
        <w:tblPrEx>
          <w:tblCellMar>
            <w:left w:w="108" w:type="dxa"/>
            <w:right w:w="108" w:type="dxa"/>
          </w:tblCellMar>
        </w:tblPrEx>
        <w:tc>
          <w:tcPr>
            <w:tcW w:w="10915" w:type="dxa"/>
            <w:gridSpan w:val="5"/>
            <w:shd w:val="clear" w:color="auto" w:fill="auto"/>
          </w:tcPr>
          <w:p w14:paraId="41894840" w14:textId="77777777" w:rsidR="006748B8" w:rsidRPr="00221E98" w:rsidRDefault="006748B8" w:rsidP="006748B8">
            <w:pPr>
              <w:pStyle w:val="Akapitzlist"/>
              <w:numPr>
                <w:ilvl w:val="0"/>
                <w:numId w:val="39"/>
              </w:numPr>
              <w:spacing w:after="0" w:line="276" w:lineRule="auto"/>
              <w:jc w:val="both"/>
              <w:rPr>
                <w:rFonts w:cstheme="minorHAnsi"/>
              </w:rPr>
            </w:pPr>
            <w:r>
              <w:rPr>
                <w:rFonts w:cstheme="minorHAnsi"/>
              </w:rPr>
              <w:t xml:space="preserve">W przypadku, gdy jakikolwiek Pracownik </w:t>
            </w:r>
            <w:r w:rsidRPr="00221E98">
              <w:rPr>
                <w:rFonts w:cstheme="minorHAnsi"/>
              </w:rPr>
              <w:t>zidentyfikuje lub poweźmie wątpliwość co do możl</w:t>
            </w:r>
            <w:r>
              <w:rPr>
                <w:rFonts w:cstheme="minorHAnsi"/>
              </w:rPr>
              <w:t xml:space="preserve">iwości występowania przez </w:t>
            </w:r>
            <w:r w:rsidR="004D3BF7">
              <w:rPr>
                <w:rFonts w:cstheme="minorHAnsi"/>
              </w:rPr>
              <w:t>Gminę</w:t>
            </w:r>
            <w:r w:rsidR="00401296">
              <w:rPr>
                <w:rFonts w:cstheme="minorHAnsi"/>
              </w:rPr>
              <w:t xml:space="preserve"> </w:t>
            </w:r>
            <w:r w:rsidRPr="00221E98">
              <w:rPr>
                <w:rFonts w:cstheme="minorHAnsi"/>
              </w:rPr>
              <w:t xml:space="preserve">w ramach danego Schematu Podatkowego jednocześnie w więcej niż jednej z ról, </w:t>
            </w:r>
            <w:r>
              <w:rPr>
                <w:rFonts w:cstheme="minorHAnsi"/>
              </w:rPr>
              <w:t xml:space="preserve">opisanych w </w:t>
            </w:r>
            <w:r w:rsidR="00885E65">
              <w:rPr>
                <w:rFonts w:cstheme="minorHAnsi"/>
              </w:rPr>
              <w:t>Procesach</w:t>
            </w:r>
            <w:r w:rsidRPr="00221E98">
              <w:rPr>
                <w:rFonts w:cstheme="minorHAnsi"/>
              </w:rPr>
              <w:t xml:space="preserve"> od 2A – 2C, każdorazowo taką wątpliwość należy niezwłocznie zgłosić do Koordynatora MDR.</w:t>
            </w:r>
          </w:p>
          <w:p w14:paraId="4AA58A4A" w14:textId="77777777" w:rsidR="006748B8" w:rsidRPr="00221E98" w:rsidRDefault="006748B8" w:rsidP="006748B8">
            <w:pPr>
              <w:pStyle w:val="Akapitzlist"/>
              <w:numPr>
                <w:ilvl w:val="0"/>
                <w:numId w:val="39"/>
              </w:numPr>
              <w:spacing w:after="0" w:line="276" w:lineRule="auto"/>
              <w:jc w:val="both"/>
              <w:rPr>
                <w:rFonts w:cstheme="minorHAnsi"/>
              </w:rPr>
            </w:pPr>
            <w:r w:rsidRPr="00221E98">
              <w:rPr>
                <w:rFonts w:cstheme="minorHAnsi"/>
              </w:rPr>
              <w:t>Koordynator MDR podejmuje decyzj</w:t>
            </w:r>
            <w:r>
              <w:rPr>
                <w:rFonts w:cstheme="minorHAnsi"/>
              </w:rPr>
              <w:t xml:space="preserve">ę o sposobie postępowania </w:t>
            </w:r>
            <w:r w:rsidR="004D3BF7">
              <w:rPr>
                <w:rFonts w:cstheme="minorHAnsi"/>
              </w:rPr>
              <w:t>Gminy</w:t>
            </w:r>
            <w:r w:rsidRPr="00221E98">
              <w:rPr>
                <w:rFonts w:cstheme="minorHAnsi"/>
              </w:rPr>
              <w:t xml:space="preserve"> w danym przypadku, w zależności od specyfiki sytuacji, przy czym jeżeli w odniesieniu do tego sa</w:t>
            </w:r>
            <w:r>
              <w:rPr>
                <w:rFonts w:cstheme="minorHAnsi"/>
              </w:rPr>
              <w:t xml:space="preserve">mego Schematu Podatkowego </w:t>
            </w:r>
            <w:r w:rsidR="004D3BF7">
              <w:rPr>
                <w:rFonts w:cstheme="minorHAnsi"/>
              </w:rPr>
              <w:t>Gmina</w:t>
            </w:r>
            <w:r w:rsidRPr="00221E98">
              <w:rPr>
                <w:rFonts w:cstheme="minorHAnsi"/>
              </w:rPr>
              <w:t xml:space="preserve"> może rozpoznać:</w:t>
            </w:r>
          </w:p>
          <w:p w14:paraId="4BB72288" w14:textId="77777777" w:rsidR="006748B8" w:rsidRPr="00221E98" w:rsidRDefault="006748B8" w:rsidP="006748B8">
            <w:pPr>
              <w:pStyle w:val="Akapitzlist"/>
              <w:numPr>
                <w:ilvl w:val="0"/>
                <w:numId w:val="40"/>
              </w:numPr>
              <w:spacing w:after="0" w:line="276" w:lineRule="auto"/>
              <w:contextualSpacing w:val="0"/>
              <w:jc w:val="both"/>
              <w:rPr>
                <w:rFonts w:cstheme="minorHAnsi"/>
              </w:rPr>
            </w:pPr>
            <w:r w:rsidRPr="00221E98">
              <w:rPr>
                <w:rFonts w:cstheme="minorHAnsi"/>
              </w:rPr>
              <w:t>zarówno rolę Promotora, jak i Wspomagającego, wykonaniu podlegają obowiązki Promotora,</w:t>
            </w:r>
          </w:p>
          <w:p w14:paraId="4BB49997" w14:textId="77777777" w:rsidR="006748B8" w:rsidRPr="006748B8" w:rsidRDefault="006748B8" w:rsidP="006748B8">
            <w:pPr>
              <w:pStyle w:val="Akapitzlist"/>
              <w:numPr>
                <w:ilvl w:val="0"/>
                <w:numId w:val="40"/>
              </w:numPr>
              <w:spacing w:after="0" w:line="276" w:lineRule="auto"/>
              <w:contextualSpacing w:val="0"/>
              <w:jc w:val="both"/>
              <w:rPr>
                <w:rFonts w:cstheme="minorHAnsi"/>
              </w:rPr>
            </w:pPr>
            <w:r w:rsidRPr="00221E98">
              <w:rPr>
                <w:rFonts w:cstheme="minorHAnsi"/>
              </w:rPr>
              <w:t xml:space="preserve">zarówno rolę Promotora jak i Korzystającego, wykonaniu podlegają </w:t>
            </w:r>
            <w:r w:rsidRPr="00F95DF4">
              <w:rPr>
                <w:rFonts w:cstheme="minorHAnsi"/>
              </w:rPr>
              <w:t>obowiązki Korzystającego.</w:t>
            </w:r>
          </w:p>
        </w:tc>
      </w:tr>
      <w:tr w:rsidR="00997930" w:rsidRPr="006A2A46" w14:paraId="1B848998" w14:textId="77777777" w:rsidTr="00C9005D">
        <w:tblPrEx>
          <w:tblCellMar>
            <w:left w:w="108" w:type="dxa"/>
            <w:right w:w="108" w:type="dxa"/>
          </w:tblCellMar>
        </w:tblPrEx>
        <w:tc>
          <w:tcPr>
            <w:tcW w:w="10915" w:type="dxa"/>
            <w:gridSpan w:val="5"/>
            <w:shd w:val="clear" w:color="auto" w:fill="F4B083" w:themeFill="accent2" w:themeFillTint="99"/>
          </w:tcPr>
          <w:p w14:paraId="29C23C00" w14:textId="1A1A881A" w:rsidR="00997930" w:rsidRPr="006A2A46" w:rsidRDefault="00997930" w:rsidP="006748B8">
            <w:pPr>
              <w:keepNext/>
              <w:spacing w:after="0" w:line="276" w:lineRule="auto"/>
              <w:jc w:val="center"/>
              <w:outlineLvl w:val="0"/>
              <w:rPr>
                <w:rFonts w:ascii="Calibri" w:eastAsia="Times New Roman" w:hAnsi="Calibri" w:cs="Calibri"/>
                <w:b/>
                <w:bCs/>
                <w:color w:val="000000"/>
                <w:kern w:val="32"/>
                <w:sz w:val="32"/>
                <w:szCs w:val="32"/>
                <w:lang w:val="x-none" w:eastAsia="x-none"/>
              </w:rPr>
            </w:pPr>
            <w:bookmarkStart w:id="19" w:name="_Toc65505168"/>
            <w:r>
              <w:rPr>
                <w:rFonts w:ascii="Calibri" w:eastAsia="Times New Roman" w:hAnsi="Calibri" w:cs="Calibri"/>
                <w:b/>
                <w:bCs/>
                <w:color w:val="000000"/>
                <w:kern w:val="32"/>
                <w:sz w:val="32"/>
                <w:szCs w:val="32"/>
                <w:lang w:eastAsia="x-none"/>
              </w:rPr>
              <w:t xml:space="preserve">PROCES </w:t>
            </w:r>
            <w:r w:rsidR="006748B8">
              <w:rPr>
                <w:rFonts w:ascii="Calibri" w:eastAsia="Times New Roman" w:hAnsi="Calibri" w:cs="Calibri"/>
                <w:b/>
                <w:bCs/>
                <w:color w:val="000000"/>
                <w:kern w:val="32"/>
                <w:sz w:val="32"/>
                <w:szCs w:val="32"/>
                <w:lang w:eastAsia="x-none"/>
              </w:rPr>
              <w:t>4</w:t>
            </w:r>
            <w:r>
              <w:rPr>
                <w:rFonts w:ascii="Calibri" w:eastAsia="Times New Roman" w:hAnsi="Calibri" w:cs="Calibri"/>
                <w:b/>
                <w:bCs/>
                <w:color w:val="000000"/>
                <w:kern w:val="32"/>
                <w:sz w:val="32"/>
                <w:szCs w:val="32"/>
                <w:lang w:eastAsia="x-none"/>
              </w:rPr>
              <w:t xml:space="preserve">: </w:t>
            </w:r>
            <w:r w:rsidRPr="006A2A46">
              <w:rPr>
                <w:rFonts w:ascii="Calibri" w:eastAsia="Times New Roman" w:hAnsi="Calibri" w:cs="Calibri"/>
                <w:b/>
                <w:bCs/>
                <w:color w:val="000000"/>
                <w:kern w:val="32"/>
                <w:sz w:val="32"/>
                <w:szCs w:val="32"/>
                <w:lang w:val="x-none" w:eastAsia="x-none"/>
              </w:rPr>
              <w:t>Zasady przechowywania dokumentów oraz informacji</w:t>
            </w:r>
            <w:bookmarkEnd w:id="19"/>
          </w:p>
        </w:tc>
      </w:tr>
      <w:tr w:rsidR="00997930" w:rsidRPr="006A2A46" w14:paraId="6A27545B" w14:textId="77777777" w:rsidTr="00C9005D">
        <w:tblPrEx>
          <w:tblCellMar>
            <w:left w:w="108" w:type="dxa"/>
            <w:right w:w="108" w:type="dxa"/>
          </w:tblCellMar>
        </w:tblPrEx>
        <w:trPr>
          <w:trHeight w:val="351"/>
        </w:trPr>
        <w:tc>
          <w:tcPr>
            <w:tcW w:w="10915" w:type="dxa"/>
            <w:gridSpan w:val="5"/>
            <w:shd w:val="clear" w:color="auto" w:fill="FFFFFF"/>
          </w:tcPr>
          <w:p w14:paraId="469F4B88" w14:textId="77777777" w:rsidR="00997930" w:rsidRPr="006A2A46" w:rsidRDefault="00997930" w:rsidP="00997930">
            <w:pPr>
              <w:numPr>
                <w:ilvl w:val="0"/>
                <w:numId w:val="6"/>
              </w:numPr>
              <w:spacing w:after="0" w:line="276" w:lineRule="auto"/>
              <w:ind w:left="499" w:hanging="357"/>
              <w:contextualSpacing/>
              <w:jc w:val="both"/>
              <w:rPr>
                <w:rFonts w:ascii="Calibri" w:eastAsia="Times New Roman" w:hAnsi="Calibri" w:cs="Calibri"/>
                <w:lang w:eastAsia="pl-PL"/>
              </w:rPr>
            </w:pPr>
            <w:r w:rsidRPr="006A2A46">
              <w:rPr>
                <w:rFonts w:ascii="Calibri" w:eastAsia="Times New Roman" w:hAnsi="Calibri" w:cs="Calibri"/>
                <w:lang w:eastAsia="pl-PL"/>
              </w:rPr>
              <w:t xml:space="preserve">Wszelka dokumentacja związana z informacjami o Schematach Podatkowych, w szczególności wszelkie dowody oraz wyniki dokonanej weryfikacji, składane przez </w:t>
            </w:r>
            <w:r w:rsidR="004D3BF7">
              <w:rPr>
                <w:rFonts w:ascii="Calibri" w:eastAsia="Times New Roman" w:hAnsi="Calibri" w:cs="Calibri"/>
                <w:lang w:eastAsia="pl-PL"/>
              </w:rPr>
              <w:t>Gminę</w:t>
            </w:r>
            <w:r w:rsidRPr="006A2A46">
              <w:rPr>
                <w:rFonts w:ascii="Calibri" w:eastAsia="Times New Roman" w:hAnsi="Calibri" w:cs="Calibri"/>
                <w:lang w:eastAsia="pl-PL"/>
              </w:rPr>
              <w:t xml:space="preserve"> informacje, jak również korespondencja (zewnętrzna jak i wewnętrzna) dotycząca kwestii MDR, jest archiwizowana w BSP</w:t>
            </w:r>
            <w:r w:rsidR="009917E3">
              <w:rPr>
                <w:rFonts w:ascii="Calibri" w:eastAsia="Times New Roman" w:hAnsi="Calibri" w:cs="Calibri"/>
                <w:lang w:eastAsia="pl-PL"/>
              </w:rPr>
              <w:t xml:space="preserve"> przez Archiwizatora MDR (adres e-mail tej osoby jest stosowany we wszelkiej korespondencji dotyczącej MDR). </w:t>
            </w:r>
          </w:p>
          <w:p w14:paraId="68218CE6" w14:textId="77777777" w:rsidR="00997930" w:rsidRPr="009917E3" w:rsidRDefault="00997930" w:rsidP="009917E3">
            <w:pPr>
              <w:numPr>
                <w:ilvl w:val="0"/>
                <w:numId w:val="6"/>
              </w:numPr>
              <w:spacing w:after="0" w:line="276" w:lineRule="auto"/>
              <w:ind w:left="499" w:hanging="357"/>
              <w:contextualSpacing/>
              <w:jc w:val="both"/>
              <w:rPr>
                <w:rFonts w:ascii="Calibri" w:eastAsia="Times New Roman" w:hAnsi="Calibri" w:cs="Calibri"/>
                <w:lang w:eastAsia="pl-PL"/>
              </w:rPr>
            </w:pPr>
            <w:r w:rsidRPr="006A2A46">
              <w:rPr>
                <w:rFonts w:ascii="Calibri" w:eastAsia="Times New Roman" w:hAnsi="Calibri" w:cs="Calibri"/>
                <w:lang w:eastAsia="pl-PL"/>
              </w:rPr>
              <w:t xml:space="preserve">Zarządza się niezwłoczne utworzenie BSP. Zadanie to zleca się </w:t>
            </w:r>
            <w:r w:rsidR="009917E3">
              <w:rPr>
                <w:rFonts w:ascii="Calibri" w:eastAsia="Times New Roman" w:hAnsi="Calibri" w:cs="Calibri"/>
                <w:lang w:eastAsia="pl-PL"/>
              </w:rPr>
              <w:t xml:space="preserve">Archaizatorowi </w:t>
            </w:r>
            <w:r w:rsidRPr="006A2A46">
              <w:rPr>
                <w:rFonts w:ascii="Calibri" w:eastAsia="Times New Roman" w:hAnsi="Calibri" w:cs="Calibri"/>
                <w:lang w:eastAsia="pl-PL"/>
              </w:rPr>
              <w:t xml:space="preserve">MDR, we współpracy ze służbami informatycznymi </w:t>
            </w:r>
            <w:r w:rsidR="004D3BF7">
              <w:rPr>
                <w:rFonts w:ascii="Calibri" w:eastAsia="Times New Roman" w:hAnsi="Calibri" w:cs="Calibri"/>
                <w:lang w:eastAsia="pl-PL"/>
              </w:rPr>
              <w:t>Gminy</w:t>
            </w:r>
            <w:r w:rsidRPr="006A2A46">
              <w:rPr>
                <w:rFonts w:ascii="Calibri" w:eastAsia="Times New Roman" w:hAnsi="Calibri" w:cs="Calibri"/>
                <w:lang w:eastAsia="pl-PL"/>
              </w:rPr>
              <w:t>.</w:t>
            </w:r>
          </w:p>
        </w:tc>
      </w:tr>
      <w:tr w:rsidR="00997930" w:rsidRPr="006A2A46" w14:paraId="717CD951" w14:textId="77777777" w:rsidTr="00C9005D">
        <w:tblPrEx>
          <w:tblCellMar>
            <w:left w:w="108" w:type="dxa"/>
            <w:right w:w="108" w:type="dxa"/>
          </w:tblCellMar>
        </w:tblPrEx>
        <w:tc>
          <w:tcPr>
            <w:tcW w:w="10915" w:type="dxa"/>
            <w:gridSpan w:val="5"/>
            <w:shd w:val="clear" w:color="auto" w:fill="F4B083" w:themeFill="accent2" w:themeFillTint="99"/>
          </w:tcPr>
          <w:p w14:paraId="01DC0A1E" w14:textId="57484E92" w:rsidR="00997930" w:rsidRPr="006A2A46" w:rsidRDefault="00997930" w:rsidP="00653372">
            <w:pPr>
              <w:keepNext/>
              <w:spacing w:after="0" w:line="276" w:lineRule="auto"/>
              <w:jc w:val="center"/>
              <w:outlineLvl w:val="0"/>
              <w:rPr>
                <w:rFonts w:ascii="Calibri" w:eastAsia="Times New Roman" w:hAnsi="Calibri" w:cs="Calibri"/>
                <w:b/>
                <w:bCs/>
                <w:color w:val="000000"/>
                <w:kern w:val="32"/>
                <w:sz w:val="32"/>
                <w:szCs w:val="32"/>
                <w:lang w:val="x-none" w:eastAsia="x-none"/>
              </w:rPr>
            </w:pPr>
            <w:bookmarkStart w:id="20" w:name="_Toc65505169"/>
            <w:r>
              <w:rPr>
                <w:rFonts w:ascii="Calibri" w:eastAsia="Times New Roman" w:hAnsi="Calibri" w:cs="Calibri"/>
                <w:b/>
                <w:bCs/>
                <w:color w:val="000000"/>
                <w:kern w:val="32"/>
                <w:sz w:val="32"/>
                <w:szCs w:val="32"/>
                <w:lang w:eastAsia="x-none"/>
              </w:rPr>
              <w:lastRenderedPageBreak/>
              <w:t xml:space="preserve">PROCES </w:t>
            </w:r>
            <w:r w:rsidR="006748B8">
              <w:rPr>
                <w:rFonts w:ascii="Calibri" w:eastAsia="Times New Roman" w:hAnsi="Calibri" w:cs="Calibri"/>
                <w:b/>
                <w:bCs/>
                <w:color w:val="000000"/>
                <w:kern w:val="32"/>
                <w:sz w:val="32"/>
                <w:szCs w:val="32"/>
                <w:lang w:eastAsia="x-none"/>
              </w:rPr>
              <w:t>5</w:t>
            </w:r>
            <w:r>
              <w:rPr>
                <w:rFonts w:ascii="Calibri" w:eastAsia="Times New Roman" w:hAnsi="Calibri" w:cs="Calibri"/>
                <w:b/>
                <w:bCs/>
                <w:color w:val="000000"/>
                <w:kern w:val="32"/>
                <w:sz w:val="32"/>
                <w:szCs w:val="32"/>
                <w:lang w:eastAsia="x-none"/>
              </w:rPr>
              <w:t xml:space="preserve">: </w:t>
            </w:r>
            <w:r w:rsidRPr="006A2A46">
              <w:rPr>
                <w:rFonts w:ascii="Calibri" w:eastAsia="Times New Roman" w:hAnsi="Calibri" w:cs="Calibri"/>
                <w:b/>
                <w:bCs/>
                <w:color w:val="000000"/>
                <w:kern w:val="32"/>
                <w:sz w:val="32"/>
                <w:szCs w:val="32"/>
                <w:lang w:val="x-none" w:eastAsia="x-none"/>
              </w:rPr>
              <w:t>Kontrola przestrzegania przepisów Ordynacji podatkowej i Procedury</w:t>
            </w:r>
            <w:bookmarkEnd w:id="20"/>
          </w:p>
        </w:tc>
      </w:tr>
      <w:tr w:rsidR="00997930" w:rsidRPr="006A2A46" w14:paraId="7BCA6706" w14:textId="77777777" w:rsidTr="00C9005D">
        <w:tblPrEx>
          <w:tblCellMar>
            <w:left w:w="108" w:type="dxa"/>
            <w:right w:w="108" w:type="dxa"/>
          </w:tblCellMar>
        </w:tblPrEx>
        <w:trPr>
          <w:trHeight w:val="351"/>
        </w:trPr>
        <w:tc>
          <w:tcPr>
            <w:tcW w:w="10915" w:type="dxa"/>
            <w:gridSpan w:val="5"/>
            <w:shd w:val="clear" w:color="auto" w:fill="FFFFFF"/>
          </w:tcPr>
          <w:p w14:paraId="5DA9F003" w14:textId="301AE958" w:rsidR="00997930" w:rsidRPr="006A2A46" w:rsidRDefault="00997930" w:rsidP="00997930">
            <w:pPr>
              <w:numPr>
                <w:ilvl w:val="0"/>
                <w:numId w:val="7"/>
              </w:numPr>
              <w:spacing w:after="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Pracownicy</w:t>
            </w:r>
            <w:r w:rsidR="001E0701">
              <w:rPr>
                <w:rFonts w:ascii="Calibri" w:eastAsia="Times New Roman" w:hAnsi="Calibri" w:cs="Calibri"/>
                <w:lang w:eastAsia="pl-PL"/>
              </w:rPr>
              <w:t xml:space="preserve"> odpowiadają za </w:t>
            </w:r>
            <w:r w:rsidR="001E0701" w:rsidRPr="00123EE5">
              <w:rPr>
                <w:rFonts w:ascii="Calibri" w:eastAsia="Times New Roman" w:hAnsi="Calibri" w:cs="Calibri"/>
                <w:lang w:eastAsia="pl-PL"/>
              </w:rPr>
              <w:t>kompletność,</w:t>
            </w:r>
            <w:r w:rsidRPr="00123EE5">
              <w:rPr>
                <w:rFonts w:ascii="Calibri" w:eastAsia="Times New Roman" w:hAnsi="Calibri" w:cs="Calibri"/>
                <w:lang w:eastAsia="pl-PL"/>
              </w:rPr>
              <w:t xml:space="preserve"> rzetelność</w:t>
            </w:r>
            <w:r w:rsidR="001E0701" w:rsidRPr="00123EE5">
              <w:rPr>
                <w:rFonts w:ascii="Calibri" w:eastAsia="Times New Roman" w:hAnsi="Calibri" w:cs="Calibri"/>
                <w:lang w:eastAsia="pl-PL"/>
              </w:rPr>
              <w:t xml:space="preserve"> oraz terminowość</w:t>
            </w:r>
            <w:r w:rsidRPr="00123EE5">
              <w:rPr>
                <w:rFonts w:ascii="Calibri" w:eastAsia="Times New Roman" w:hAnsi="Calibri" w:cs="Calibri"/>
                <w:lang w:eastAsia="pl-PL"/>
              </w:rPr>
              <w:t xml:space="preserve"> przekazywanych</w:t>
            </w:r>
            <w:r w:rsidR="001E0701" w:rsidRPr="00123EE5">
              <w:rPr>
                <w:rFonts w:ascii="Calibri" w:eastAsia="Times New Roman" w:hAnsi="Calibri" w:cs="Calibri"/>
                <w:lang w:eastAsia="pl-PL"/>
              </w:rPr>
              <w:t xml:space="preserve"> danych</w:t>
            </w:r>
            <w:r w:rsidRPr="00123EE5">
              <w:rPr>
                <w:rFonts w:ascii="Calibri" w:eastAsia="Times New Roman" w:hAnsi="Calibri" w:cs="Calibri"/>
                <w:lang w:eastAsia="pl-PL"/>
              </w:rPr>
              <w:t xml:space="preserve"> do </w:t>
            </w:r>
            <w:r w:rsidRPr="006A2A46">
              <w:rPr>
                <w:rFonts w:ascii="Calibri" w:eastAsia="Times New Roman" w:hAnsi="Calibri" w:cs="Calibri"/>
                <w:lang w:eastAsia="pl-PL"/>
              </w:rPr>
              <w:t xml:space="preserve">Koordynatora MDR oraz właściwy przebieg komunikacji z Koordynatorem MDR. </w:t>
            </w:r>
          </w:p>
          <w:p w14:paraId="5B69901C" w14:textId="77777777" w:rsidR="00997930" w:rsidRPr="00DE6AEF" w:rsidRDefault="00997930" w:rsidP="00997930">
            <w:pPr>
              <w:numPr>
                <w:ilvl w:val="0"/>
                <w:numId w:val="7"/>
              </w:numPr>
              <w:spacing w:after="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Pracownik, który zauważy rzeczywiste lub potencjalne naruszenie przepisów prawa, których dotyczy Procedura, zobowiązany jest niezwłocznie zgłosić to swojemu przełożonemu oraz Koordynatorowi MDR.</w:t>
            </w:r>
          </w:p>
        </w:tc>
      </w:tr>
      <w:tr w:rsidR="00997930" w:rsidRPr="006A2A46" w14:paraId="7550D03B" w14:textId="77777777" w:rsidTr="00C9005D">
        <w:tblPrEx>
          <w:tblCellMar>
            <w:left w:w="108" w:type="dxa"/>
            <w:right w:w="108" w:type="dxa"/>
          </w:tblCellMar>
        </w:tblPrEx>
        <w:tc>
          <w:tcPr>
            <w:tcW w:w="10915" w:type="dxa"/>
            <w:gridSpan w:val="5"/>
            <w:shd w:val="clear" w:color="auto" w:fill="F4B083" w:themeFill="accent2" w:themeFillTint="99"/>
          </w:tcPr>
          <w:p w14:paraId="1EDF3DC1" w14:textId="464E690C" w:rsidR="00997930" w:rsidRPr="00E86678" w:rsidRDefault="00997930" w:rsidP="00997930">
            <w:pPr>
              <w:keepNext/>
              <w:spacing w:after="0" w:line="276" w:lineRule="auto"/>
              <w:ind w:left="1451" w:hanging="1451"/>
              <w:outlineLvl w:val="0"/>
              <w:rPr>
                <w:rFonts w:ascii="Calibri" w:eastAsia="Times New Roman" w:hAnsi="Calibri" w:cs="Calibri"/>
                <w:b/>
                <w:bCs/>
                <w:color w:val="000000"/>
                <w:kern w:val="32"/>
                <w:sz w:val="32"/>
                <w:szCs w:val="32"/>
                <w:lang w:eastAsia="x-none"/>
              </w:rPr>
            </w:pPr>
            <w:bookmarkStart w:id="21" w:name="legenda"/>
            <w:bookmarkStart w:id="22" w:name="_Toc65505170"/>
            <w:bookmarkEnd w:id="21"/>
            <w:r>
              <w:rPr>
                <w:rFonts w:ascii="Calibri" w:eastAsia="Times New Roman" w:hAnsi="Calibri" w:cs="Calibri"/>
                <w:b/>
                <w:bCs/>
                <w:color w:val="000000"/>
                <w:kern w:val="32"/>
                <w:sz w:val="32"/>
                <w:szCs w:val="32"/>
                <w:lang w:eastAsia="x-none"/>
              </w:rPr>
              <w:t xml:space="preserve">PROCES </w:t>
            </w:r>
            <w:r w:rsidR="006748B8">
              <w:rPr>
                <w:rFonts w:ascii="Calibri" w:eastAsia="Times New Roman" w:hAnsi="Calibri" w:cs="Calibri"/>
                <w:b/>
                <w:bCs/>
                <w:color w:val="000000"/>
                <w:kern w:val="32"/>
                <w:sz w:val="32"/>
                <w:szCs w:val="32"/>
                <w:lang w:eastAsia="x-none"/>
              </w:rPr>
              <w:t>6</w:t>
            </w:r>
            <w:r>
              <w:rPr>
                <w:rFonts w:ascii="Calibri" w:eastAsia="Times New Roman" w:hAnsi="Calibri" w:cs="Calibri"/>
                <w:b/>
                <w:bCs/>
                <w:color w:val="000000"/>
                <w:kern w:val="32"/>
                <w:sz w:val="32"/>
                <w:szCs w:val="32"/>
                <w:lang w:eastAsia="x-none"/>
              </w:rPr>
              <w:t xml:space="preserve">: </w:t>
            </w:r>
            <w:r w:rsidRPr="006A2A46">
              <w:rPr>
                <w:rFonts w:ascii="Calibri" w:eastAsia="Times New Roman" w:hAnsi="Calibri" w:cs="Calibri"/>
                <w:b/>
                <w:bCs/>
                <w:color w:val="000000"/>
                <w:kern w:val="32"/>
                <w:sz w:val="32"/>
                <w:szCs w:val="32"/>
                <w:lang w:val="x-none" w:eastAsia="x-none"/>
              </w:rPr>
              <w:t xml:space="preserve">Upowszechnianie wiedzy z zakresu raportowania Schematów Podatkowych wśród pracowników </w:t>
            </w:r>
            <w:r w:rsidR="00E86678">
              <w:rPr>
                <w:rFonts w:ascii="Calibri" w:eastAsia="Times New Roman" w:hAnsi="Calibri" w:cs="Calibri"/>
                <w:b/>
                <w:bCs/>
                <w:color w:val="000000"/>
                <w:kern w:val="32"/>
                <w:sz w:val="32"/>
                <w:szCs w:val="32"/>
                <w:lang w:eastAsia="x-none"/>
              </w:rPr>
              <w:t>Gminy</w:t>
            </w:r>
            <w:bookmarkEnd w:id="22"/>
          </w:p>
        </w:tc>
      </w:tr>
      <w:tr w:rsidR="00997930" w:rsidRPr="006A2A46" w14:paraId="6C9B3E44" w14:textId="77777777" w:rsidTr="00C9005D">
        <w:tblPrEx>
          <w:tblCellMar>
            <w:left w:w="108" w:type="dxa"/>
            <w:right w:w="108" w:type="dxa"/>
          </w:tblCellMar>
        </w:tblPrEx>
        <w:trPr>
          <w:trHeight w:val="351"/>
        </w:trPr>
        <w:tc>
          <w:tcPr>
            <w:tcW w:w="10915" w:type="dxa"/>
            <w:gridSpan w:val="5"/>
            <w:shd w:val="clear" w:color="auto" w:fill="FFFFFF"/>
          </w:tcPr>
          <w:p w14:paraId="38514D56" w14:textId="77777777" w:rsidR="00997930" w:rsidRPr="006A2A46" w:rsidRDefault="004D3BF7" w:rsidP="00997930">
            <w:pPr>
              <w:numPr>
                <w:ilvl w:val="0"/>
                <w:numId w:val="8"/>
              </w:numPr>
              <w:spacing w:after="0" w:line="276" w:lineRule="auto"/>
              <w:jc w:val="both"/>
              <w:rPr>
                <w:rFonts w:ascii="Calibri" w:eastAsia="Times New Roman" w:hAnsi="Calibri" w:cs="Calibri"/>
                <w:lang w:eastAsia="pl-PL"/>
              </w:rPr>
            </w:pPr>
            <w:r>
              <w:rPr>
                <w:rFonts w:ascii="Calibri" w:eastAsia="Times New Roman" w:hAnsi="Calibri" w:cs="Calibri"/>
                <w:lang w:eastAsia="pl-PL"/>
              </w:rPr>
              <w:t>Gmina</w:t>
            </w:r>
            <w:r w:rsidR="00997930" w:rsidRPr="006A2A46">
              <w:rPr>
                <w:rFonts w:ascii="Calibri" w:eastAsia="Times New Roman" w:hAnsi="Calibri" w:cs="Calibri"/>
                <w:lang w:eastAsia="pl-PL"/>
              </w:rPr>
              <w:t xml:space="preserve"> w celu najlepszego dochowania obowiązków w zakresie przekazywania informacji o Schematach Podatkowych udziela Pracownikom dostępu do BSP. BSP prowadzona jest w formie elektronicznej.</w:t>
            </w:r>
          </w:p>
          <w:p w14:paraId="2210B748" w14:textId="65310A75" w:rsidR="00997930" w:rsidRPr="006A2A46" w:rsidRDefault="001E0701" w:rsidP="00997930">
            <w:pPr>
              <w:numPr>
                <w:ilvl w:val="0"/>
                <w:numId w:val="8"/>
              </w:numPr>
              <w:spacing w:after="0" w:line="276" w:lineRule="auto"/>
              <w:jc w:val="both"/>
              <w:rPr>
                <w:rFonts w:ascii="Calibri" w:eastAsia="Times New Roman" w:hAnsi="Calibri" w:cs="Calibri"/>
                <w:lang w:eastAsia="pl-PL"/>
              </w:rPr>
            </w:pPr>
            <w:r w:rsidRPr="00123EE5">
              <w:rPr>
                <w:rFonts w:ascii="Calibri" w:eastAsia="Times New Roman" w:hAnsi="Calibri" w:cs="Calibri"/>
                <w:lang w:eastAsia="pl-PL"/>
              </w:rPr>
              <w:t>Pracownicy</w:t>
            </w:r>
            <w:r w:rsidR="00997930" w:rsidRPr="00123EE5">
              <w:rPr>
                <w:rFonts w:ascii="Calibri" w:eastAsia="Times New Roman" w:hAnsi="Calibri" w:cs="Calibri"/>
                <w:lang w:eastAsia="pl-PL"/>
              </w:rPr>
              <w:t xml:space="preserve">, kierownicy </w:t>
            </w:r>
            <w:r w:rsidR="00997930">
              <w:rPr>
                <w:rFonts w:ascii="Calibri" w:eastAsia="Times New Roman" w:hAnsi="Calibri" w:cs="Calibri"/>
                <w:lang w:eastAsia="pl-PL"/>
              </w:rPr>
              <w:t>komórek organizacyjnych Urzędu,</w:t>
            </w:r>
            <w:r w:rsidR="00997930" w:rsidRPr="006A2A46">
              <w:rPr>
                <w:rFonts w:ascii="Calibri" w:eastAsia="Times New Roman" w:hAnsi="Calibri" w:cs="Calibri"/>
                <w:lang w:eastAsia="pl-PL"/>
              </w:rPr>
              <w:t xml:space="preserve"> </w:t>
            </w:r>
            <w:r w:rsidR="00997930">
              <w:rPr>
                <w:rFonts w:ascii="Calibri" w:eastAsia="Times New Roman" w:hAnsi="Calibri" w:cs="Calibri"/>
                <w:lang w:eastAsia="pl-PL"/>
              </w:rPr>
              <w:t>Władze</w:t>
            </w:r>
            <w:r w:rsidR="00997930" w:rsidRPr="006A2A46">
              <w:rPr>
                <w:rFonts w:ascii="Calibri" w:eastAsia="Times New Roman" w:hAnsi="Calibri" w:cs="Calibri"/>
                <w:lang w:eastAsia="pl-PL"/>
              </w:rPr>
              <w:t xml:space="preserve"> </w:t>
            </w:r>
            <w:r w:rsidR="004D3BF7">
              <w:rPr>
                <w:rFonts w:ascii="Calibri" w:eastAsia="Times New Roman" w:hAnsi="Calibri" w:cs="Calibri"/>
                <w:lang w:eastAsia="pl-PL"/>
              </w:rPr>
              <w:t>Gminy</w:t>
            </w:r>
            <w:r w:rsidR="00997930" w:rsidRPr="006A2A46">
              <w:rPr>
                <w:rFonts w:ascii="Calibri" w:eastAsia="Times New Roman" w:hAnsi="Calibri" w:cs="Calibri"/>
                <w:lang w:eastAsia="pl-PL"/>
              </w:rPr>
              <w:t>, oraz Główni Księgowi Jednostek zobowiązani są do:</w:t>
            </w:r>
          </w:p>
          <w:p w14:paraId="7654133B" w14:textId="77777777" w:rsidR="00997930" w:rsidRPr="006A2A46" w:rsidRDefault="00997930" w:rsidP="00997930">
            <w:pPr>
              <w:numPr>
                <w:ilvl w:val="1"/>
                <w:numId w:val="8"/>
              </w:numPr>
              <w:spacing w:after="0" w:line="276" w:lineRule="auto"/>
              <w:ind w:left="743" w:hanging="284"/>
              <w:jc w:val="both"/>
              <w:rPr>
                <w:rFonts w:ascii="Calibri" w:eastAsia="Times New Roman" w:hAnsi="Calibri" w:cs="Calibri"/>
                <w:lang w:eastAsia="pl-PL"/>
              </w:rPr>
            </w:pPr>
            <w:r w:rsidRPr="006A2A46">
              <w:rPr>
                <w:rFonts w:ascii="Calibri" w:eastAsia="Times New Roman" w:hAnsi="Calibri" w:cs="Calibri"/>
                <w:lang w:eastAsia="pl-PL"/>
              </w:rPr>
              <w:t>stosowania regulacji rozdziału 11a Ordynacji podatkowej,</w:t>
            </w:r>
          </w:p>
          <w:p w14:paraId="1272A29E" w14:textId="77777777" w:rsidR="00997930" w:rsidRPr="006A2A46" w:rsidRDefault="00997930" w:rsidP="00997930">
            <w:pPr>
              <w:numPr>
                <w:ilvl w:val="1"/>
                <w:numId w:val="8"/>
              </w:numPr>
              <w:spacing w:after="0" w:line="276" w:lineRule="auto"/>
              <w:ind w:left="743" w:hanging="284"/>
              <w:jc w:val="both"/>
              <w:rPr>
                <w:rFonts w:ascii="Calibri" w:eastAsia="Times New Roman" w:hAnsi="Calibri" w:cs="Calibri"/>
                <w:lang w:eastAsia="pl-PL"/>
              </w:rPr>
            </w:pPr>
            <w:r w:rsidRPr="006A2A46">
              <w:rPr>
                <w:rFonts w:ascii="Calibri" w:eastAsia="Times New Roman" w:hAnsi="Calibri" w:cs="Calibri"/>
                <w:lang w:eastAsia="pl-PL"/>
              </w:rPr>
              <w:t>udziału w programach szkoleniowych dotyczących obowiązków MDR (w zakresie i na zasadach wynikających z informacji przekazywanych przez Koordynatora MDR),</w:t>
            </w:r>
          </w:p>
          <w:p w14:paraId="52D53554" w14:textId="77777777" w:rsidR="00997930" w:rsidRPr="006A2A46" w:rsidRDefault="00997930" w:rsidP="00997930">
            <w:pPr>
              <w:numPr>
                <w:ilvl w:val="1"/>
                <w:numId w:val="8"/>
              </w:numPr>
              <w:spacing w:after="0" w:line="276" w:lineRule="auto"/>
              <w:ind w:left="743" w:hanging="284"/>
              <w:jc w:val="both"/>
              <w:rPr>
                <w:rFonts w:ascii="Calibri" w:eastAsia="Times New Roman" w:hAnsi="Calibri" w:cs="Calibri"/>
                <w:lang w:eastAsia="pl-PL"/>
              </w:rPr>
            </w:pPr>
            <w:r w:rsidRPr="006A2A46">
              <w:rPr>
                <w:rFonts w:ascii="Calibri" w:eastAsia="Times New Roman" w:hAnsi="Calibri" w:cs="Calibri"/>
                <w:lang w:eastAsia="pl-PL"/>
              </w:rPr>
              <w:t>korzystania z materiałów stanowiących załączniki do Procedury,</w:t>
            </w:r>
          </w:p>
          <w:p w14:paraId="586BBE9E" w14:textId="77777777" w:rsidR="00997930" w:rsidRPr="006A2A46" w:rsidRDefault="00997930" w:rsidP="00997930">
            <w:pPr>
              <w:numPr>
                <w:ilvl w:val="1"/>
                <w:numId w:val="8"/>
              </w:numPr>
              <w:spacing w:after="0" w:line="276" w:lineRule="auto"/>
              <w:ind w:left="743" w:hanging="284"/>
              <w:jc w:val="both"/>
              <w:rPr>
                <w:rFonts w:ascii="Calibri" w:eastAsia="Times New Roman" w:hAnsi="Calibri" w:cs="Calibri"/>
                <w:lang w:eastAsia="pl-PL"/>
              </w:rPr>
            </w:pPr>
            <w:r w:rsidRPr="006A2A46">
              <w:rPr>
                <w:rFonts w:ascii="Calibri" w:eastAsia="Times New Roman" w:hAnsi="Calibri" w:cs="Calibri"/>
                <w:lang w:eastAsia="pl-PL"/>
              </w:rPr>
              <w:t>uwzględniania w ramach obowiązków informacji zawartych w BSP,</w:t>
            </w:r>
          </w:p>
          <w:p w14:paraId="387C8AD7" w14:textId="77777777" w:rsidR="00997930" w:rsidRDefault="00997930" w:rsidP="00997930">
            <w:pPr>
              <w:numPr>
                <w:ilvl w:val="1"/>
                <w:numId w:val="8"/>
              </w:numPr>
              <w:spacing w:after="0" w:line="276" w:lineRule="auto"/>
              <w:ind w:left="743" w:hanging="284"/>
              <w:jc w:val="both"/>
              <w:rPr>
                <w:rFonts w:ascii="Calibri" w:eastAsia="Times New Roman" w:hAnsi="Calibri" w:cs="Calibri"/>
                <w:lang w:eastAsia="pl-PL"/>
              </w:rPr>
            </w:pPr>
            <w:r w:rsidRPr="006A2A46">
              <w:rPr>
                <w:rFonts w:ascii="Calibri" w:eastAsia="Times New Roman" w:hAnsi="Calibri" w:cs="Calibri"/>
                <w:lang w:eastAsia="pl-PL"/>
              </w:rPr>
              <w:t>samodzielnego po</w:t>
            </w:r>
            <w:r>
              <w:rPr>
                <w:rFonts w:ascii="Calibri" w:eastAsia="Times New Roman" w:hAnsi="Calibri" w:cs="Calibri"/>
                <w:lang w:eastAsia="pl-PL"/>
              </w:rPr>
              <w:t>szerzania wiedzy w zakresie MDR,</w:t>
            </w:r>
          </w:p>
          <w:p w14:paraId="1CE732F9" w14:textId="77777777" w:rsidR="00997930" w:rsidRPr="006A2A46" w:rsidRDefault="00997930" w:rsidP="00997930">
            <w:pPr>
              <w:numPr>
                <w:ilvl w:val="1"/>
                <w:numId w:val="8"/>
              </w:numPr>
              <w:spacing w:after="0" w:line="276" w:lineRule="auto"/>
              <w:ind w:left="743" w:hanging="284"/>
              <w:jc w:val="both"/>
              <w:rPr>
                <w:rFonts w:ascii="Calibri" w:eastAsia="Times New Roman" w:hAnsi="Calibri" w:cs="Calibri"/>
                <w:lang w:eastAsia="pl-PL"/>
              </w:rPr>
            </w:pPr>
            <w:r>
              <w:rPr>
                <w:rFonts w:ascii="Calibri" w:eastAsia="Times New Roman" w:hAnsi="Calibri" w:cs="Calibri"/>
                <w:lang w:eastAsia="pl-PL"/>
              </w:rPr>
              <w:t>nadzoru nad podległymi pracownikami w zakresie stosowania przez pracowników ww. punktów od a do e.</w:t>
            </w:r>
          </w:p>
        </w:tc>
      </w:tr>
      <w:tr w:rsidR="00997930" w:rsidRPr="006A2A46" w14:paraId="04DC3CB2" w14:textId="77777777" w:rsidTr="00C9005D">
        <w:tblPrEx>
          <w:tblCellMar>
            <w:left w:w="108" w:type="dxa"/>
            <w:right w:w="108" w:type="dxa"/>
          </w:tblCellMar>
        </w:tblPrEx>
        <w:tc>
          <w:tcPr>
            <w:tcW w:w="10915" w:type="dxa"/>
            <w:gridSpan w:val="5"/>
            <w:shd w:val="clear" w:color="auto" w:fill="F4B083" w:themeFill="accent2" w:themeFillTint="99"/>
          </w:tcPr>
          <w:p w14:paraId="1AB09F4E" w14:textId="14391955" w:rsidR="00997930" w:rsidRPr="006A2A46" w:rsidRDefault="00997930" w:rsidP="00997930">
            <w:pPr>
              <w:keepNext/>
              <w:spacing w:after="0" w:line="276" w:lineRule="auto"/>
              <w:jc w:val="center"/>
              <w:outlineLvl w:val="0"/>
              <w:rPr>
                <w:rFonts w:ascii="Calibri" w:eastAsia="Times New Roman" w:hAnsi="Calibri" w:cs="Calibri"/>
                <w:b/>
                <w:bCs/>
                <w:color w:val="000000"/>
                <w:kern w:val="32"/>
                <w:sz w:val="32"/>
                <w:szCs w:val="32"/>
                <w:lang w:val="x-none" w:eastAsia="x-none"/>
              </w:rPr>
            </w:pPr>
            <w:bookmarkStart w:id="23" w:name="_Toc65505171"/>
            <w:r w:rsidRPr="006A2A46">
              <w:rPr>
                <w:rFonts w:ascii="Calibri" w:eastAsia="Times New Roman" w:hAnsi="Calibri" w:cs="Calibri"/>
                <w:b/>
                <w:bCs/>
                <w:color w:val="000000"/>
                <w:kern w:val="32"/>
                <w:sz w:val="32"/>
                <w:szCs w:val="32"/>
                <w:lang w:val="x-none" w:eastAsia="x-none"/>
              </w:rPr>
              <w:t>ZAŁĄCZNIKI</w:t>
            </w:r>
            <w:bookmarkEnd w:id="23"/>
          </w:p>
        </w:tc>
      </w:tr>
      <w:tr w:rsidR="00997930" w:rsidRPr="006A2A46" w14:paraId="5299DF9B" w14:textId="77777777" w:rsidTr="00C9005D">
        <w:tblPrEx>
          <w:tblCellMar>
            <w:left w:w="108" w:type="dxa"/>
            <w:right w:w="108" w:type="dxa"/>
          </w:tblCellMar>
        </w:tblPrEx>
        <w:trPr>
          <w:trHeight w:val="351"/>
        </w:trPr>
        <w:tc>
          <w:tcPr>
            <w:tcW w:w="10915" w:type="dxa"/>
            <w:gridSpan w:val="5"/>
            <w:shd w:val="clear" w:color="auto" w:fill="FFFFFF"/>
          </w:tcPr>
          <w:p w14:paraId="10112579" w14:textId="77777777" w:rsidR="00997930" w:rsidRPr="006A2A46"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6A2A46">
              <w:rPr>
                <w:rFonts w:ascii="Calibri" w:eastAsia="Times New Roman" w:hAnsi="Calibri" w:cs="Calibri"/>
                <w:lang w:eastAsia="pl-PL"/>
              </w:rPr>
              <w:t xml:space="preserve">Załącznik </w:t>
            </w:r>
            <w:r>
              <w:rPr>
                <w:rFonts w:ascii="Calibri" w:eastAsia="Times New Roman" w:hAnsi="Calibri" w:cs="Calibri"/>
                <w:lang w:eastAsia="pl-PL"/>
              </w:rPr>
              <w:t xml:space="preserve">nr </w:t>
            </w:r>
            <w:r w:rsidRPr="006A2A46">
              <w:rPr>
                <w:rFonts w:ascii="Calibri" w:eastAsia="Times New Roman" w:hAnsi="Calibri" w:cs="Calibri"/>
                <w:lang w:eastAsia="pl-PL"/>
              </w:rPr>
              <w:t xml:space="preserve">1 </w:t>
            </w:r>
            <w:r>
              <w:rPr>
                <w:rFonts w:ascii="Calibri" w:eastAsia="Times New Roman" w:hAnsi="Calibri" w:cs="Calibri"/>
                <w:lang w:eastAsia="pl-PL"/>
              </w:rPr>
              <w:t>–</w:t>
            </w:r>
            <w:r w:rsidRPr="006A2A46">
              <w:rPr>
                <w:rFonts w:ascii="Calibri" w:eastAsia="Times New Roman" w:hAnsi="Calibri" w:cs="Calibri"/>
                <w:lang w:eastAsia="pl-PL"/>
              </w:rPr>
              <w:t xml:space="preserve"> Definicje</w:t>
            </w:r>
            <w:r>
              <w:rPr>
                <w:rFonts w:ascii="Calibri" w:eastAsia="Times New Roman" w:hAnsi="Calibri" w:cs="Calibri"/>
                <w:lang w:eastAsia="pl-PL"/>
              </w:rPr>
              <w:t xml:space="preserve"> </w:t>
            </w:r>
          </w:p>
          <w:p w14:paraId="7CD75E42" w14:textId="77777777" w:rsidR="00997930" w:rsidRPr="006A2A46"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6A2A46">
              <w:rPr>
                <w:rFonts w:ascii="Calibri" w:eastAsia="Times New Roman" w:hAnsi="Calibri" w:cs="Calibri"/>
                <w:lang w:eastAsia="pl-PL"/>
              </w:rPr>
              <w:t xml:space="preserve">Załącznik </w:t>
            </w:r>
            <w:r>
              <w:rPr>
                <w:rFonts w:ascii="Calibri" w:eastAsia="Times New Roman" w:hAnsi="Calibri" w:cs="Calibri"/>
                <w:lang w:eastAsia="pl-PL"/>
              </w:rPr>
              <w:t xml:space="preserve">nr </w:t>
            </w:r>
            <w:r w:rsidRPr="006A2A46">
              <w:rPr>
                <w:rFonts w:ascii="Calibri" w:eastAsia="Times New Roman" w:hAnsi="Calibri" w:cs="Calibri"/>
                <w:lang w:eastAsia="pl-PL"/>
              </w:rPr>
              <w:t xml:space="preserve">2 </w:t>
            </w:r>
            <w:r>
              <w:rPr>
                <w:rFonts w:ascii="Calibri" w:eastAsia="Times New Roman" w:hAnsi="Calibri" w:cs="Calibri"/>
                <w:lang w:eastAsia="pl-PL"/>
              </w:rPr>
              <w:t>–</w:t>
            </w:r>
            <w:r w:rsidRPr="006A2A46">
              <w:rPr>
                <w:rFonts w:ascii="Calibri" w:eastAsia="Times New Roman" w:hAnsi="Calibri" w:cs="Calibri"/>
                <w:lang w:eastAsia="pl-PL"/>
              </w:rPr>
              <w:t xml:space="preserve"> Obowiązki</w:t>
            </w:r>
            <w:r>
              <w:rPr>
                <w:rFonts w:ascii="Calibri" w:eastAsia="Times New Roman" w:hAnsi="Calibri" w:cs="Calibri"/>
                <w:lang w:eastAsia="pl-PL"/>
              </w:rPr>
              <w:t xml:space="preserve"> </w:t>
            </w:r>
            <w:r w:rsidRPr="006A2A46">
              <w:rPr>
                <w:rFonts w:ascii="Calibri" w:eastAsia="Times New Roman" w:hAnsi="Calibri" w:cs="Calibri"/>
                <w:lang w:eastAsia="pl-PL"/>
              </w:rPr>
              <w:t>raportowe i formularze</w:t>
            </w:r>
          </w:p>
          <w:p w14:paraId="6D47F8DE" w14:textId="77777777" w:rsidR="00997930" w:rsidRPr="006A2A46"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6A2A46">
              <w:rPr>
                <w:rFonts w:ascii="Calibri" w:eastAsia="Times New Roman" w:hAnsi="Calibri" w:cs="Calibri"/>
                <w:lang w:eastAsia="pl-PL"/>
              </w:rPr>
              <w:t xml:space="preserve">Załącznik </w:t>
            </w:r>
            <w:r>
              <w:rPr>
                <w:rFonts w:ascii="Calibri" w:eastAsia="Times New Roman" w:hAnsi="Calibri" w:cs="Calibri"/>
                <w:lang w:eastAsia="pl-PL"/>
              </w:rPr>
              <w:t xml:space="preserve">nr </w:t>
            </w:r>
            <w:r w:rsidRPr="006A2A46">
              <w:rPr>
                <w:rFonts w:ascii="Calibri" w:eastAsia="Times New Roman" w:hAnsi="Calibri" w:cs="Calibri"/>
                <w:lang w:eastAsia="pl-PL"/>
              </w:rPr>
              <w:t xml:space="preserve">3 </w:t>
            </w:r>
            <w:r>
              <w:rPr>
                <w:rFonts w:ascii="Calibri" w:eastAsia="Times New Roman" w:hAnsi="Calibri" w:cs="Calibri"/>
                <w:lang w:eastAsia="pl-PL"/>
              </w:rPr>
              <w:t>–</w:t>
            </w:r>
            <w:r w:rsidRPr="006A2A46">
              <w:rPr>
                <w:rFonts w:ascii="Calibri" w:eastAsia="Times New Roman" w:hAnsi="Calibri" w:cs="Calibri"/>
                <w:lang w:eastAsia="pl-PL"/>
              </w:rPr>
              <w:t xml:space="preserve"> Zakres</w:t>
            </w:r>
            <w:r>
              <w:rPr>
                <w:rFonts w:ascii="Calibri" w:eastAsia="Times New Roman" w:hAnsi="Calibri" w:cs="Calibri"/>
                <w:lang w:eastAsia="pl-PL"/>
              </w:rPr>
              <w:t xml:space="preserve"> </w:t>
            </w:r>
            <w:r w:rsidRPr="006A2A46">
              <w:rPr>
                <w:rFonts w:ascii="Calibri" w:eastAsia="Times New Roman" w:hAnsi="Calibri" w:cs="Calibri"/>
                <w:lang w:eastAsia="pl-PL"/>
              </w:rPr>
              <w:t>informacji uzyskiwany przez Koordynatora MDR</w:t>
            </w:r>
          </w:p>
          <w:p w14:paraId="7D235641" w14:textId="77777777" w:rsidR="00997930" w:rsidRPr="004F4D81" w:rsidRDefault="00997930" w:rsidP="00997930">
            <w:pPr>
              <w:widowControl w:val="0"/>
              <w:autoSpaceDE w:val="0"/>
              <w:autoSpaceDN w:val="0"/>
              <w:adjustRightInd w:val="0"/>
              <w:spacing w:after="0" w:line="276" w:lineRule="auto"/>
              <w:rPr>
                <w:rFonts w:ascii="Calibri" w:eastAsia="Times New Roman" w:hAnsi="Calibri" w:cs="Calibri"/>
                <w:lang w:eastAsia="pl-PL"/>
              </w:rPr>
            </w:pPr>
            <w:r>
              <w:rPr>
                <w:rFonts w:ascii="Calibri" w:eastAsia="Times New Roman" w:hAnsi="Calibri" w:cs="Calibri"/>
                <w:lang w:eastAsia="pl-PL"/>
              </w:rPr>
              <w:t xml:space="preserve">Załącznik nr 4 – </w:t>
            </w:r>
            <w:r w:rsidRPr="004F4D81">
              <w:rPr>
                <w:rFonts w:ascii="Calibri" w:eastAsia="Times New Roman" w:hAnsi="Calibri" w:cs="Calibri"/>
                <w:lang w:eastAsia="pl-PL"/>
              </w:rPr>
              <w:t>Czynności niepodlegające raportowaniu</w:t>
            </w:r>
          </w:p>
          <w:p w14:paraId="4FB0F452" w14:textId="77777777" w:rsidR="00997930" w:rsidRPr="006A2A46" w:rsidRDefault="00997930" w:rsidP="00997930">
            <w:pPr>
              <w:widowControl w:val="0"/>
              <w:autoSpaceDE w:val="0"/>
              <w:autoSpaceDN w:val="0"/>
              <w:adjustRightInd w:val="0"/>
              <w:spacing w:after="0" w:line="276" w:lineRule="auto"/>
              <w:rPr>
                <w:rFonts w:ascii="Calibri" w:eastAsia="Times New Roman" w:hAnsi="Calibri" w:cs="Calibri"/>
                <w:lang w:eastAsia="pl-PL"/>
              </w:rPr>
            </w:pPr>
            <w:r w:rsidRPr="004F4D81">
              <w:rPr>
                <w:rFonts w:ascii="Calibri" w:eastAsia="Times New Roman" w:hAnsi="Calibri" w:cs="Calibri"/>
                <w:lang w:eastAsia="pl-PL"/>
              </w:rPr>
              <w:t xml:space="preserve">Załącznik </w:t>
            </w:r>
            <w:r>
              <w:rPr>
                <w:rFonts w:ascii="Calibri" w:eastAsia="Times New Roman" w:hAnsi="Calibri" w:cs="Calibri"/>
                <w:lang w:eastAsia="pl-PL"/>
              </w:rPr>
              <w:t xml:space="preserve">nr 5 – </w:t>
            </w:r>
            <w:r w:rsidRPr="004F4D81">
              <w:rPr>
                <w:rFonts w:ascii="Calibri" w:eastAsia="Times New Roman" w:hAnsi="Calibri" w:cs="Calibri"/>
                <w:lang w:eastAsia="pl-PL"/>
              </w:rPr>
              <w:t>Czynności</w:t>
            </w:r>
            <w:r>
              <w:rPr>
                <w:rFonts w:ascii="Calibri" w:eastAsia="Times New Roman" w:hAnsi="Calibri" w:cs="Calibri"/>
                <w:lang w:eastAsia="pl-PL"/>
              </w:rPr>
              <w:t xml:space="preserve"> </w:t>
            </w:r>
            <w:r w:rsidRPr="004F4D81">
              <w:rPr>
                <w:rFonts w:ascii="Calibri" w:eastAsia="Times New Roman" w:hAnsi="Calibri" w:cs="Calibri"/>
                <w:lang w:eastAsia="pl-PL"/>
              </w:rPr>
              <w:t>potencjalnie podlegające raportowaniu</w:t>
            </w:r>
          </w:p>
        </w:tc>
      </w:tr>
      <w:tr w:rsidR="00997930" w:rsidRPr="006A2A46" w14:paraId="2717844C" w14:textId="77777777" w:rsidTr="00C9005D">
        <w:tblPrEx>
          <w:tblCellMar>
            <w:left w:w="108" w:type="dxa"/>
            <w:right w:w="108" w:type="dxa"/>
          </w:tblCellMar>
        </w:tblPrEx>
        <w:tc>
          <w:tcPr>
            <w:tcW w:w="10915" w:type="dxa"/>
            <w:gridSpan w:val="5"/>
            <w:shd w:val="clear" w:color="auto" w:fill="F4B083" w:themeFill="accent2" w:themeFillTint="99"/>
          </w:tcPr>
          <w:p w14:paraId="742413C6" w14:textId="77777777" w:rsidR="00997930" w:rsidRPr="006A2A46" w:rsidRDefault="00997930" w:rsidP="00997930">
            <w:pPr>
              <w:widowControl w:val="0"/>
              <w:autoSpaceDE w:val="0"/>
              <w:autoSpaceDN w:val="0"/>
              <w:adjustRightInd w:val="0"/>
              <w:spacing w:after="0" w:line="276" w:lineRule="auto"/>
              <w:jc w:val="center"/>
              <w:rPr>
                <w:rFonts w:ascii="Calibri" w:eastAsia="Times New Roman" w:hAnsi="Calibri" w:cs="Calibri"/>
                <w:b/>
                <w:bCs/>
                <w:sz w:val="24"/>
                <w:szCs w:val="24"/>
                <w:lang w:eastAsia="pl-PL"/>
              </w:rPr>
            </w:pPr>
            <w:r w:rsidRPr="006A2A46">
              <w:rPr>
                <w:rFonts w:ascii="Calibri" w:eastAsia="Times New Roman" w:hAnsi="Calibri" w:cs="Calibri"/>
                <w:b/>
                <w:sz w:val="24"/>
                <w:szCs w:val="24"/>
                <w:lang w:eastAsia="pl-PL"/>
              </w:rPr>
              <w:t>KONIEC</w:t>
            </w:r>
          </w:p>
        </w:tc>
      </w:tr>
    </w:tbl>
    <w:p w14:paraId="4C3B2AB4" w14:textId="63E8A654" w:rsidR="006A2A46" w:rsidRDefault="006A2A46" w:rsidP="006A2A46">
      <w:pPr>
        <w:spacing w:after="0" w:line="276" w:lineRule="auto"/>
        <w:rPr>
          <w:rFonts w:ascii="Calibri" w:eastAsia="Times New Roman" w:hAnsi="Calibri" w:cs="Calibri"/>
          <w:sz w:val="18"/>
          <w:szCs w:val="18"/>
          <w:lang w:eastAsia="pl-PL"/>
        </w:rPr>
      </w:pPr>
    </w:p>
    <w:p w14:paraId="6F41D727" w14:textId="4BE7EFEC" w:rsidR="00027768" w:rsidRDefault="00027768" w:rsidP="006A2A46">
      <w:pPr>
        <w:spacing w:after="0" w:line="276" w:lineRule="auto"/>
        <w:rPr>
          <w:rFonts w:ascii="Calibri" w:eastAsia="Times New Roman" w:hAnsi="Calibri" w:cs="Calibri"/>
          <w:sz w:val="18"/>
          <w:szCs w:val="18"/>
          <w:lang w:eastAsia="pl-PL"/>
        </w:rPr>
      </w:pPr>
    </w:p>
    <w:p w14:paraId="1BEC1B36" w14:textId="4162D57C" w:rsidR="00027768" w:rsidRDefault="00027768" w:rsidP="006A2A46">
      <w:pPr>
        <w:spacing w:after="0" w:line="276" w:lineRule="auto"/>
        <w:rPr>
          <w:rFonts w:ascii="Calibri" w:eastAsia="Times New Roman" w:hAnsi="Calibri" w:cs="Calibri"/>
          <w:sz w:val="18"/>
          <w:szCs w:val="18"/>
          <w:lang w:eastAsia="pl-PL"/>
        </w:rPr>
      </w:pPr>
    </w:p>
    <w:p w14:paraId="07A4D9A1" w14:textId="67A85D64" w:rsidR="00027768" w:rsidRDefault="00027768" w:rsidP="006A2A46">
      <w:pPr>
        <w:spacing w:after="0" w:line="276" w:lineRule="auto"/>
        <w:rPr>
          <w:rFonts w:ascii="Calibri" w:eastAsia="Times New Roman" w:hAnsi="Calibri" w:cs="Calibri"/>
          <w:sz w:val="18"/>
          <w:szCs w:val="18"/>
          <w:lang w:eastAsia="pl-PL"/>
        </w:rPr>
      </w:pPr>
    </w:p>
    <w:p w14:paraId="4113B9FE" w14:textId="41121808" w:rsidR="00027768" w:rsidRDefault="00027768" w:rsidP="006A2A46">
      <w:pPr>
        <w:spacing w:after="0" w:line="276" w:lineRule="auto"/>
        <w:rPr>
          <w:rFonts w:ascii="Calibri" w:eastAsia="Times New Roman" w:hAnsi="Calibri" w:cs="Calibri"/>
          <w:sz w:val="18"/>
          <w:szCs w:val="18"/>
          <w:lang w:eastAsia="pl-PL"/>
        </w:rPr>
      </w:pPr>
    </w:p>
    <w:p w14:paraId="6E30BBE7" w14:textId="2F165368" w:rsidR="00027768" w:rsidRDefault="00027768" w:rsidP="006A2A46">
      <w:pPr>
        <w:spacing w:after="0" w:line="276" w:lineRule="auto"/>
        <w:rPr>
          <w:rFonts w:ascii="Calibri" w:eastAsia="Times New Roman" w:hAnsi="Calibri" w:cs="Calibri"/>
          <w:sz w:val="18"/>
          <w:szCs w:val="18"/>
          <w:lang w:eastAsia="pl-PL"/>
        </w:rPr>
      </w:pPr>
    </w:p>
    <w:p w14:paraId="068A8218" w14:textId="4DED8D26" w:rsidR="00027768" w:rsidRDefault="00027768" w:rsidP="006A2A46">
      <w:pPr>
        <w:spacing w:after="0" w:line="276" w:lineRule="auto"/>
        <w:rPr>
          <w:rFonts w:ascii="Calibri" w:eastAsia="Times New Roman" w:hAnsi="Calibri" w:cs="Calibri"/>
          <w:sz w:val="18"/>
          <w:szCs w:val="18"/>
          <w:lang w:eastAsia="pl-PL"/>
        </w:rPr>
      </w:pPr>
    </w:p>
    <w:p w14:paraId="2D4CBC67" w14:textId="17828499" w:rsidR="00027768" w:rsidRDefault="00027768" w:rsidP="006A2A46">
      <w:pPr>
        <w:spacing w:after="0" w:line="276" w:lineRule="auto"/>
        <w:rPr>
          <w:rFonts w:ascii="Calibri" w:eastAsia="Times New Roman" w:hAnsi="Calibri" w:cs="Calibri"/>
          <w:sz w:val="18"/>
          <w:szCs w:val="18"/>
          <w:lang w:eastAsia="pl-PL"/>
        </w:rPr>
      </w:pPr>
    </w:p>
    <w:p w14:paraId="052591B1" w14:textId="474FC3C5" w:rsidR="00027768" w:rsidRDefault="00027768" w:rsidP="006A2A46">
      <w:pPr>
        <w:spacing w:after="0" w:line="276" w:lineRule="auto"/>
        <w:rPr>
          <w:rFonts w:ascii="Calibri" w:eastAsia="Times New Roman" w:hAnsi="Calibri" w:cs="Calibri"/>
          <w:sz w:val="18"/>
          <w:szCs w:val="18"/>
          <w:lang w:eastAsia="pl-PL"/>
        </w:rPr>
      </w:pPr>
    </w:p>
    <w:p w14:paraId="5A162D56" w14:textId="1BC3A319" w:rsidR="00027768" w:rsidRDefault="00027768" w:rsidP="006A2A46">
      <w:pPr>
        <w:spacing w:after="0" w:line="276" w:lineRule="auto"/>
        <w:rPr>
          <w:rFonts w:ascii="Calibri" w:eastAsia="Times New Roman" w:hAnsi="Calibri" w:cs="Calibri"/>
          <w:sz w:val="18"/>
          <w:szCs w:val="18"/>
          <w:lang w:eastAsia="pl-PL"/>
        </w:rPr>
      </w:pPr>
    </w:p>
    <w:p w14:paraId="3B54C608" w14:textId="6CE6AD6D" w:rsidR="00027768" w:rsidRDefault="00027768" w:rsidP="006A2A46">
      <w:pPr>
        <w:spacing w:after="0" w:line="276" w:lineRule="auto"/>
        <w:rPr>
          <w:rFonts w:ascii="Calibri" w:eastAsia="Times New Roman" w:hAnsi="Calibri" w:cs="Calibri"/>
          <w:sz w:val="18"/>
          <w:szCs w:val="18"/>
          <w:lang w:eastAsia="pl-PL"/>
        </w:rPr>
      </w:pPr>
    </w:p>
    <w:p w14:paraId="6898305F" w14:textId="31849D6E" w:rsidR="00EB173F" w:rsidRDefault="00EB173F" w:rsidP="006A2A46">
      <w:pPr>
        <w:spacing w:after="0" w:line="276" w:lineRule="auto"/>
        <w:rPr>
          <w:rFonts w:ascii="Calibri" w:eastAsia="Times New Roman" w:hAnsi="Calibri" w:cs="Calibri"/>
          <w:sz w:val="18"/>
          <w:szCs w:val="18"/>
          <w:lang w:eastAsia="pl-PL"/>
        </w:rPr>
      </w:pPr>
    </w:p>
    <w:p w14:paraId="47985489" w14:textId="415751D3" w:rsidR="00EB173F" w:rsidRDefault="00EB173F" w:rsidP="006A2A46">
      <w:pPr>
        <w:spacing w:after="0" w:line="276" w:lineRule="auto"/>
        <w:rPr>
          <w:rFonts w:ascii="Calibri" w:eastAsia="Times New Roman" w:hAnsi="Calibri" w:cs="Calibri"/>
          <w:sz w:val="18"/>
          <w:szCs w:val="18"/>
          <w:lang w:eastAsia="pl-PL"/>
        </w:rPr>
      </w:pPr>
    </w:p>
    <w:p w14:paraId="4DEAED82" w14:textId="4F68323F" w:rsidR="00EB173F" w:rsidRDefault="00EB173F" w:rsidP="006A2A46">
      <w:pPr>
        <w:spacing w:after="0" w:line="276" w:lineRule="auto"/>
        <w:rPr>
          <w:rFonts w:ascii="Calibri" w:eastAsia="Times New Roman" w:hAnsi="Calibri" w:cs="Calibri"/>
          <w:sz w:val="18"/>
          <w:szCs w:val="18"/>
          <w:lang w:eastAsia="pl-PL"/>
        </w:rPr>
      </w:pPr>
    </w:p>
    <w:p w14:paraId="6B5C87E8" w14:textId="77777777" w:rsidR="00EB173F" w:rsidRDefault="00EB173F" w:rsidP="006A2A46">
      <w:pPr>
        <w:spacing w:after="0" w:line="276" w:lineRule="auto"/>
        <w:rPr>
          <w:rFonts w:ascii="Calibri" w:eastAsia="Times New Roman" w:hAnsi="Calibri" w:cs="Calibri"/>
          <w:sz w:val="18"/>
          <w:szCs w:val="18"/>
          <w:lang w:eastAsia="pl-PL"/>
        </w:rPr>
      </w:pPr>
    </w:p>
    <w:p w14:paraId="12718C68" w14:textId="5FB6DABA" w:rsidR="00EB173F" w:rsidRDefault="006A2A46" w:rsidP="00EB173F">
      <w:pPr>
        <w:pStyle w:val="Nagwek2"/>
        <w:rPr>
          <w:rFonts w:ascii="Calibri" w:eastAsia="Times New Roman" w:hAnsi="Calibri" w:cs="Calibri"/>
          <w:color w:val="auto"/>
          <w:sz w:val="24"/>
          <w:szCs w:val="24"/>
        </w:rPr>
      </w:pPr>
      <w:bookmarkStart w:id="24" w:name="_Toc65505172"/>
      <w:r w:rsidRPr="00EB173F">
        <w:rPr>
          <w:rFonts w:ascii="Calibri" w:eastAsia="Times New Roman" w:hAnsi="Calibri" w:cs="Calibri"/>
          <w:color w:val="auto"/>
          <w:sz w:val="24"/>
          <w:szCs w:val="24"/>
        </w:rPr>
        <w:t xml:space="preserve">Załącznik </w:t>
      </w:r>
      <w:r w:rsidR="00EB173F">
        <w:rPr>
          <w:rFonts w:ascii="Calibri" w:eastAsia="Times New Roman" w:hAnsi="Calibri" w:cs="Calibri"/>
          <w:color w:val="auto"/>
          <w:sz w:val="24"/>
          <w:szCs w:val="24"/>
        </w:rPr>
        <w:t xml:space="preserve">nr </w:t>
      </w:r>
      <w:r w:rsidRPr="00EB173F">
        <w:rPr>
          <w:rFonts w:ascii="Calibri" w:eastAsia="Times New Roman" w:hAnsi="Calibri" w:cs="Calibri"/>
          <w:color w:val="auto"/>
          <w:sz w:val="24"/>
          <w:szCs w:val="24"/>
        </w:rPr>
        <w:t>1: Definicje</w:t>
      </w:r>
      <w:bookmarkEnd w:id="24"/>
    </w:p>
    <w:p w14:paraId="04F1E844" w14:textId="77777777" w:rsidR="00EB173F" w:rsidRPr="00EB173F" w:rsidRDefault="00EB173F" w:rsidP="00EB173F"/>
    <w:p w14:paraId="42DC0D02" w14:textId="77777777" w:rsidR="006A2A46" w:rsidRPr="006A2A46" w:rsidRDefault="006A2A46" w:rsidP="006A2A46">
      <w:pPr>
        <w:numPr>
          <w:ilvl w:val="0"/>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Następujące pojęcia ustawowe, szczegółowo zdefiniowane w art. 86a Ordynacji podatkowej z perspektywy działalności </w:t>
      </w:r>
      <w:r w:rsidR="004D3BF7">
        <w:rPr>
          <w:rFonts w:ascii="Calibri" w:eastAsia="Times New Roman" w:hAnsi="Calibri" w:cs="Calibri"/>
          <w:lang w:eastAsia="pl-PL"/>
        </w:rPr>
        <w:t>Gminy</w:t>
      </w:r>
      <w:r w:rsidRPr="006A2A46">
        <w:rPr>
          <w:rFonts w:ascii="Calibri" w:eastAsia="Times New Roman" w:hAnsi="Calibri" w:cs="Calibri"/>
          <w:lang w:eastAsia="pl-PL"/>
        </w:rPr>
        <w:t xml:space="preserve"> rozumiane są w szczególności jako:</w:t>
      </w:r>
    </w:p>
    <w:p w14:paraId="0EEBD89A" w14:textId="77777777" w:rsidR="006A2A46" w:rsidRPr="006A2A46" w:rsidRDefault="006A2A46" w:rsidP="006A2A46">
      <w:pPr>
        <w:numPr>
          <w:ilvl w:val="1"/>
          <w:numId w:val="1"/>
        </w:numPr>
        <w:spacing w:after="0" w:line="276" w:lineRule="auto"/>
        <w:rPr>
          <w:rFonts w:ascii="Calibri" w:eastAsia="Times New Roman" w:hAnsi="Calibri" w:cs="Calibri"/>
          <w:lang w:eastAsia="pl-PL"/>
        </w:rPr>
      </w:pPr>
      <w:r w:rsidRPr="006A2A46">
        <w:rPr>
          <w:rFonts w:ascii="Calibri" w:eastAsia="Times New Roman" w:hAnsi="Calibri" w:cs="Calibri"/>
          <w:lang w:eastAsia="pl-PL"/>
        </w:rPr>
        <w:lastRenderedPageBreak/>
        <w:t xml:space="preserve">Schemat Podatkowy – zdarzenie, przedsięwzięcie, umowa, czynność wywołująca określone skutki podatkowe (w zakresie wszystkich zobowiązań podatkowych realizowanych przez </w:t>
      </w:r>
      <w:r w:rsidR="004D3BF7">
        <w:rPr>
          <w:rFonts w:ascii="Calibri" w:eastAsia="Times New Roman" w:hAnsi="Calibri" w:cs="Calibri"/>
          <w:lang w:eastAsia="pl-PL"/>
        </w:rPr>
        <w:t>Gminę</w:t>
      </w:r>
      <w:r w:rsidRPr="006A2A46">
        <w:rPr>
          <w:rFonts w:ascii="Calibri" w:eastAsia="Times New Roman" w:hAnsi="Calibri" w:cs="Calibri"/>
          <w:lang w:eastAsia="pl-PL"/>
        </w:rPr>
        <w:t>), wynikających z obowiązujących przepisów prawa podatkowego):</w:t>
      </w:r>
    </w:p>
    <w:p w14:paraId="08E13B61" w14:textId="77777777" w:rsidR="006A2A46" w:rsidRPr="006A2A46" w:rsidRDefault="006A2A46" w:rsidP="006A2A46">
      <w:pPr>
        <w:numPr>
          <w:ilvl w:val="2"/>
          <w:numId w:val="1"/>
        </w:numPr>
        <w:spacing w:after="0" w:line="276" w:lineRule="auto"/>
        <w:rPr>
          <w:rFonts w:ascii="Calibri" w:eastAsia="Times New Roman" w:hAnsi="Calibri" w:cs="Calibri"/>
          <w:lang w:eastAsia="pl-PL"/>
        </w:rPr>
      </w:pPr>
      <w:r w:rsidRPr="006A2A46">
        <w:rPr>
          <w:rFonts w:ascii="Calibri" w:eastAsia="Times New Roman" w:hAnsi="Calibri" w:cs="Calibri"/>
          <w:lang w:eastAsia="pl-PL"/>
        </w:rPr>
        <w:t xml:space="preserve">których głównym celem jest osiągnięcie korzyści podatkowej i jednocześnie spełnia on Ogólną Cechę Rozpoznawczą, </w:t>
      </w:r>
    </w:p>
    <w:p w14:paraId="43AFAAE4" w14:textId="77777777" w:rsidR="006A2A46" w:rsidRPr="006A2A46" w:rsidRDefault="006A2A46" w:rsidP="006A2A46">
      <w:pPr>
        <w:numPr>
          <w:ilvl w:val="2"/>
          <w:numId w:val="1"/>
        </w:numPr>
        <w:spacing w:after="0" w:line="276" w:lineRule="auto"/>
        <w:rPr>
          <w:rFonts w:ascii="Calibri" w:eastAsia="Times New Roman" w:hAnsi="Calibri" w:cs="Calibri"/>
          <w:lang w:eastAsia="pl-PL"/>
        </w:rPr>
      </w:pPr>
      <w:r w:rsidRPr="006A2A46">
        <w:rPr>
          <w:rFonts w:ascii="Calibri" w:eastAsia="Times New Roman" w:hAnsi="Calibri" w:cs="Calibri"/>
          <w:lang w:eastAsia="pl-PL"/>
        </w:rPr>
        <w:t>które spełnia Szczególną Cechę Rozpoznawczą, lub</w:t>
      </w:r>
    </w:p>
    <w:p w14:paraId="453BBE93" w14:textId="77777777" w:rsidR="006A2A46" w:rsidRPr="006A2A46" w:rsidRDefault="006A2A46" w:rsidP="006A2A46">
      <w:pPr>
        <w:numPr>
          <w:ilvl w:val="2"/>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które spełnia Inną Szczególną Cechę Rozpoznawczą.</w:t>
      </w:r>
    </w:p>
    <w:p w14:paraId="200AEDC3" w14:textId="77777777" w:rsidR="006A2A46" w:rsidRPr="006A2A46" w:rsidRDefault="006A2A46" w:rsidP="006A2A46">
      <w:pPr>
        <w:numPr>
          <w:ilvl w:val="1"/>
          <w:numId w:val="1"/>
        </w:numPr>
        <w:spacing w:after="0" w:line="276" w:lineRule="auto"/>
        <w:rPr>
          <w:rFonts w:ascii="Calibri" w:eastAsia="Times New Roman" w:hAnsi="Calibri" w:cs="Calibri"/>
          <w:lang w:eastAsia="pl-PL"/>
        </w:rPr>
      </w:pPr>
      <w:r w:rsidRPr="006A2A46">
        <w:rPr>
          <w:rFonts w:ascii="Calibri" w:eastAsia="Times New Roman" w:hAnsi="Calibri" w:cs="Calibri"/>
          <w:lang w:eastAsia="pl-PL"/>
        </w:rPr>
        <w:t>Schemat Podatkowy Transgraniczny – Schemat Podatkowy, w którym przynajmniej jeden uczestnik prowadzi działalność lub ma siedzibę lub miejsce zamieszkania poza terytorium RP oraz:</w:t>
      </w:r>
    </w:p>
    <w:p w14:paraId="5E501BF1" w14:textId="77777777" w:rsidR="006A2A46" w:rsidRPr="006A2A46" w:rsidRDefault="006A2A46" w:rsidP="006A2A46">
      <w:pPr>
        <w:numPr>
          <w:ilvl w:val="2"/>
          <w:numId w:val="1"/>
        </w:numPr>
        <w:spacing w:after="0" w:line="276" w:lineRule="auto"/>
        <w:rPr>
          <w:rFonts w:ascii="Calibri" w:eastAsia="Times New Roman" w:hAnsi="Calibri" w:cs="Calibri"/>
          <w:lang w:eastAsia="pl-PL"/>
        </w:rPr>
      </w:pPr>
      <w:r w:rsidRPr="006A2A46">
        <w:rPr>
          <w:rFonts w:ascii="Calibri" w:eastAsia="Times New Roman" w:hAnsi="Calibri" w:cs="Calibri"/>
          <w:lang w:eastAsia="pl-PL"/>
        </w:rPr>
        <w:t xml:space="preserve">którego głównym celem jest osiągnięcie korzyści podatkowej i jednocześnie spełnia on Ogólną Cechę Rozpoznawczą, lub </w:t>
      </w:r>
    </w:p>
    <w:p w14:paraId="424CDF0B" w14:textId="77777777" w:rsidR="006A2A46" w:rsidRPr="006A2A46" w:rsidRDefault="006A2A46" w:rsidP="006A2A46">
      <w:pPr>
        <w:numPr>
          <w:ilvl w:val="2"/>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spełnia Szczególną Cechę Rozpoznawczą.</w:t>
      </w:r>
    </w:p>
    <w:p w14:paraId="1A157174"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Schemat Podatkowy Standaryzowany – Schemat Podatkowy możliwy do wdrożenia u więcej niż jednego Korzystającego bez zmiany istotnych założeń, parametrów uwzględniających specyfikę Korzystającego (zmiana wysokości korzyści podatkowej wynikająca np. ze skali działalności nie jest uważana za zmianę istotnych założeń).</w:t>
      </w:r>
    </w:p>
    <w:p w14:paraId="43AE3B6B" w14:textId="77777777" w:rsidR="006A2A46" w:rsidRPr="006A2A46" w:rsidRDefault="006A2A46" w:rsidP="006A2A46">
      <w:pPr>
        <w:numPr>
          <w:ilvl w:val="1"/>
          <w:numId w:val="1"/>
        </w:numPr>
        <w:spacing w:after="0" w:line="276" w:lineRule="auto"/>
        <w:ind w:left="641" w:hanging="357"/>
        <w:jc w:val="both"/>
        <w:rPr>
          <w:rFonts w:ascii="Calibri" w:eastAsia="Times New Roman" w:hAnsi="Calibri" w:cs="Calibri"/>
          <w:lang w:eastAsia="pl-PL"/>
        </w:rPr>
      </w:pPr>
      <w:r w:rsidRPr="006A2A46">
        <w:rPr>
          <w:rFonts w:ascii="Calibri" w:eastAsia="Times New Roman" w:hAnsi="Calibri" w:cs="Calibri"/>
          <w:lang w:eastAsia="pl-PL"/>
        </w:rPr>
        <w:t>Kwalifikowany Korzystający – Korzystający:</w:t>
      </w:r>
    </w:p>
    <w:p w14:paraId="0E2A4E44" w14:textId="77777777" w:rsidR="006A2A46" w:rsidRPr="006A2A46" w:rsidRDefault="006A2A46" w:rsidP="006A2A46">
      <w:pPr>
        <w:numPr>
          <w:ilvl w:val="2"/>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którego przychody lub koszty albo wartość aktywów przekroczyły w roku poprzedzającym lub w bieżącym roku obrotowym 10 000 000 euro, lub</w:t>
      </w:r>
    </w:p>
    <w:p w14:paraId="08094ABE" w14:textId="77777777" w:rsidR="006A2A46" w:rsidRPr="006A2A46" w:rsidRDefault="006A2A46" w:rsidP="006A2A46">
      <w:pPr>
        <w:numPr>
          <w:ilvl w:val="2"/>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jeżeli Udostępniane/Wdrażane Uzgodnienie dotyczy rzeczy lub praw o wartości rynkowej przekraczającej 2 500 000 euro, lub</w:t>
      </w:r>
    </w:p>
    <w:p w14:paraId="67850BCD" w14:textId="77777777" w:rsidR="006A2A46" w:rsidRPr="006A2A46" w:rsidRDefault="006A2A46" w:rsidP="006A2A46">
      <w:pPr>
        <w:numPr>
          <w:ilvl w:val="2"/>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Korzystający, który jest podmiotem powiązanym z podmiotem który spełnia powyższe kryteria.</w:t>
      </w:r>
    </w:p>
    <w:p w14:paraId="76229AD3"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Uzgodnienie – czynność w toku działalności </w:t>
      </w:r>
      <w:r w:rsidR="004D3BF7">
        <w:rPr>
          <w:rFonts w:ascii="Calibri" w:eastAsia="Times New Roman" w:hAnsi="Calibri" w:cs="Calibri"/>
          <w:lang w:eastAsia="pl-PL"/>
        </w:rPr>
        <w:t>Gminy</w:t>
      </w:r>
      <w:r w:rsidRPr="006A2A46">
        <w:rPr>
          <w:rFonts w:ascii="Calibri" w:eastAsia="Times New Roman" w:hAnsi="Calibri" w:cs="Calibri"/>
          <w:lang w:eastAsia="pl-PL"/>
        </w:rPr>
        <w:t>, która podlega analizie z perspektywy Schematu Podatkowego, w szczególności: oferta, przedsięwzięcie, transakcja, umowa.</w:t>
      </w:r>
    </w:p>
    <w:p w14:paraId="289A8B50" w14:textId="77777777" w:rsidR="006A2A46" w:rsidRPr="006A2A46" w:rsidRDefault="006A2A46" w:rsidP="006A2A46">
      <w:pPr>
        <w:numPr>
          <w:ilvl w:val="0"/>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Użyte w Procedurze określenia, które nie zostały zdefiniowane w art. 86a § 1 Ordynacji podatkowej,  oznaczają:</w:t>
      </w:r>
    </w:p>
    <w:p w14:paraId="4BDF3CE0" w14:textId="22609BA4"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BSP – Baza Schematów Podatkowych zidentyfikowanych w </w:t>
      </w:r>
      <w:r w:rsidR="004D3BF7">
        <w:rPr>
          <w:rFonts w:ascii="Calibri" w:eastAsia="Times New Roman" w:hAnsi="Calibri" w:cs="Calibri"/>
          <w:lang w:eastAsia="pl-PL"/>
        </w:rPr>
        <w:t>Gminie</w:t>
      </w:r>
      <w:r w:rsidRPr="006A2A46">
        <w:rPr>
          <w:rFonts w:ascii="Calibri" w:eastAsia="Times New Roman" w:hAnsi="Calibri" w:cs="Calibri"/>
          <w:lang w:eastAsia="pl-PL"/>
        </w:rPr>
        <w:t xml:space="preserve">, prowadzona </w:t>
      </w:r>
      <w:r w:rsidRPr="00123EE5">
        <w:rPr>
          <w:rFonts w:ascii="Calibri" w:eastAsia="Times New Roman" w:hAnsi="Calibri" w:cs="Calibri"/>
          <w:lang w:eastAsia="pl-PL"/>
        </w:rPr>
        <w:t xml:space="preserve">przez </w:t>
      </w:r>
      <w:r w:rsidR="001E0701" w:rsidRPr="00123EE5">
        <w:rPr>
          <w:rFonts w:ascii="Calibri" w:eastAsia="Times New Roman" w:hAnsi="Calibri" w:cs="Calibri"/>
          <w:lang w:eastAsia="pl-PL"/>
        </w:rPr>
        <w:t>Archiwizatora MDR</w:t>
      </w:r>
      <w:r w:rsidRPr="00123EE5">
        <w:rPr>
          <w:rFonts w:ascii="Calibri" w:eastAsia="Times New Roman" w:hAnsi="Calibri" w:cs="Calibri"/>
          <w:lang w:eastAsia="pl-PL"/>
        </w:rPr>
        <w:t>;</w:t>
      </w:r>
    </w:p>
    <w:p w14:paraId="4E2F3BC9" w14:textId="061B79FE" w:rsidR="003829E9" w:rsidRPr="00123EE5" w:rsidRDefault="006A2A46" w:rsidP="007C49C3">
      <w:pPr>
        <w:numPr>
          <w:ilvl w:val="1"/>
          <w:numId w:val="1"/>
        </w:numPr>
        <w:spacing w:after="0" w:line="276" w:lineRule="auto"/>
        <w:jc w:val="both"/>
        <w:rPr>
          <w:rFonts w:ascii="Calibri" w:eastAsia="Times New Roman" w:hAnsi="Calibri" w:cs="Calibri"/>
          <w:lang w:eastAsia="pl-PL"/>
        </w:rPr>
      </w:pPr>
      <w:r w:rsidRPr="003829E9">
        <w:rPr>
          <w:rFonts w:ascii="Calibri" w:eastAsia="Times New Roman" w:hAnsi="Calibri" w:cs="Calibri"/>
          <w:lang w:eastAsia="pl-PL"/>
        </w:rPr>
        <w:t xml:space="preserve">Osoba upoważniona do reprezentowania </w:t>
      </w:r>
      <w:r w:rsidR="004D3BF7" w:rsidRPr="003829E9">
        <w:rPr>
          <w:rFonts w:ascii="Calibri" w:eastAsia="Times New Roman" w:hAnsi="Calibri" w:cs="Calibri"/>
          <w:lang w:eastAsia="pl-PL"/>
        </w:rPr>
        <w:t xml:space="preserve">Gminy </w:t>
      </w:r>
      <w:r w:rsidRPr="003829E9">
        <w:rPr>
          <w:rFonts w:ascii="Calibri" w:eastAsia="Times New Roman" w:hAnsi="Calibri" w:cs="Calibri"/>
          <w:lang w:eastAsia="pl-PL"/>
        </w:rPr>
        <w:t xml:space="preserve">– </w:t>
      </w:r>
      <w:r w:rsidR="00C9403D">
        <w:rPr>
          <w:rFonts w:ascii="Calibri" w:eastAsia="Times New Roman" w:hAnsi="Calibri" w:cs="Calibri"/>
          <w:lang w:eastAsia="pl-PL"/>
        </w:rPr>
        <w:t>Wójt</w:t>
      </w:r>
      <w:r w:rsidR="007F1D28">
        <w:rPr>
          <w:rFonts w:ascii="Calibri" w:eastAsia="Times New Roman" w:hAnsi="Calibri" w:cs="Calibri"/>
          <w:lang w:eastAsia="pl-PL"/>
        </w:rPr>
        <w:t xml:space="preserve"> </w:t>
      </w:r>
      <w:r w:rsidR="004D3BF7" w:rsidRPr="003829E9">
        <w:rPr>
          <w:rFonts w:ascii="Calibri" w:eastAsia="Times New Roman" w:hAnsi="Calibri" w:cs="Calibri"/>
          <w:lang w:eastAsia="pl-PL"/>
        </w:rPr>
        <w:t>Gminy</w:t>
      </w:r>
      <w:r w:rsidR="001E0701">
        <w:rPr>
          <w:rFonts w:ascii="Calibri" w:eastAsia="Times New Roman" w:hAnsi="Calibri" w:cs="Calibri"/>
          <w:lang w:eastAsia="pl-PL"/>
        </w:rPr>
        <w:t xml:space="preserve"> </w:t>
      </w:r>
      <w:r w:rsidR="00E9508E" w:rsidRPr="00123EE5">
        <w:rPr>
          <w:rFonts w:ascii="Calibri" w:eastAsia="Times New Roman" w:hAnsi="Calibri" w:cs="Calibri"/>
          <w:lang w:eastAsia="pl-PL"/>
        </w:rPr>
        <w:t xml:space="preserve">oraz Zastępca </w:t>
      </w:r>
      <w:r w:rsidR="00C9403D">
        <w:rPr>
          <w:rFonts w:ascii="Calibri" w:eastAsia="Times New Roman" w:hAnsi="Calibri" w:cs="Calibri"/>
          <w:lang w:eastAsia="pl-PL"/>
        </w:rPr>
        <w:t>Wójta</w:t>
      </w:r>
      <w:r w:rsidR="00E9508E" w:rsidRPr="00123EE5">
        <w:rPr>
          <w:rFonts w:ascii="Calibri" w:eastAsia="Times New Roman" w:hAnsi="Calibri" w:cs="Calibri"/>
          <w:lang w:eastAsia="pl-PL"/>
        </w:rPr>
        <w:t xml:space="preserve"> zgodnie z pełnomocnictwem</w:t>
      </w:r>
      <w:r w:rsidR="00C12FCB" w:rsidRPr="00123EE5">
        <w:rPr>
          <w:rFonts w:ascii="Calibri" w:eastAsia="Times New Roman" w:hAnsi="Calibri" w:cs="Calibri"/>
          <w:lang w:eastAsia="pl-PL"/>
        </w:rPr>
        <w:t>,</w:t>
      </w:r>
    </w:p>
    <w:p w14:paraId="051562C4" w14:textId="77777777" w:rsidR="006A2A46" w:rsidRPr="003829E9" w:rsidRDefault="006A2A46" w:rsidP="007C49C3">
      <w:pPr>
        <w:numPr>
          <w:ilvl w:val="1"/>
          <w:numId w:val="1"/>
        </w:numPr>
        <w:spacing w:after="0" w:line="276" w:lineRule="auto"/>
        <w:jc w:val="both"/>
        <w:rPr>
          <w:rFonts w:ascii="Calibri" w:eastAsia="Times New Roman" w:hAnsi="Calibri" w:cs="Calibri"/>
          <w:lang w:eastAsia="pl-PL"/>
        </w:rPr>
      </w:pPr>
      <w:r w:rsidRPr="003829E9">
        <w:rPr>
          <w:rFonts w:ascii="Calibri" w:eastAsia="Times New Roman" w:hAnsi="Calibri" w:cs="Calibri"/>
          <w:lang w:eastAsia="pl-PL"/>
        </w:rPr>
        <w:t>Krajowy Schemat Podatkowy – Schemat Podatkowy, który nie spełnia Kryterium Transgranicznego;</w:t>
      </w:r>
    </w:p>
    <w:p w14:paraId="207ABD64"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Schemat Podatkowy Niestandaryzowany - Schemat Podatkowy niemożliwy do wdrożenia lub udostępnienia u więcej niż jednego Korzystającego bez konieczności zmiany jego istotnych założeń, w szczególności dotyczących rodzaju czynności podejmowanych lub planowanych w ramach Schematu Podatkowego;</w:t>
      </w:r>
    </w:p>
    <w:p w14:paraId="1FC0640C"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Szef KAS – Szef Krajowej Administracji Skarbowej;</w:t>
      </w:r>
    </w:p>
    <w:p w14:paraId="32CAD51C"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Informacja o Zastosowaniu Schematu Podatkowego - informacja składana przez Korzystającego wraz z deklaracją podatkową za dany okres rozliczeniowy;</w:t>
      </w:r>
    </w:p>
    <w:p w14:paraId="2A5E6838"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Informacja o Schemacie Podatkowym – informacja przekazywana Szefowi KAS, zawierająca dane wskazane w art. 86f </w:t>
      </w:r>
      <w:r w:rsidRPr="006A2A46">
        <w:rPr>
          <w:rFonts w:ascii="Calibri" w:eastAsia="Times New Roman" w:hAnsi="Calibri" w:cs="Calibri"/>
          <w:bCs/>
          <w:lang w:eastAsia="pl-PL"/>
        </w:rPr>
        <w:t>§ 1 Ordynacji podatkowej</w:t>
      </w:r>
      <w:r w:rsidRPr="006A2A46">
        <w:rPr>
          <w:rFonts w:ascii="Calibri" w:eastAsia="Times New Roman" w:hAnsi="Calibri" w:cs="Calibri"/>
          <w:lang w:eastAsia="pl-PL"/>
        </w:rPr>
        <w:t>;</w:t>
      </w:r>
    </w:p>
    <w:p w14:paraId="02D0E60B"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Kwartalna Informacja o Udostępnieniu Schematu Podatkowego Standaryzowanego - informacja przekazywana Szefowi KAS przez Promotora lub Wspomagającego, zawierająca dane identyfikujące Korzystającego określone w art. 86f </w:t>
      </w:r>
      <w:r w:rsidRPr="006A2A46">
        <w:rPr>
          <w:rFonts w:ascii="Calibri" w:eastAsia="Times New Roman" w:hAnsi="Calibri" w:cs="Calibri"/>
          <w:bCs/>
          <w:lang w:eastAsia="pl-PL"/>
        </w:rPr>
        <w:t xml:space="preserve">§ 1 w zw. art. </w:t>
      </w:r>
      <w:r w:rsidRPr="006A2A46">
        <w:rPr>
          <w:rFonts w:ascii="Calibri" w:eastAsia="Times New Roman" w:hAnsi="Calibri" w:cs="Calibri"/>
          <w:lang w:eastAsia="pl-PL"/>
        </w:rPr>
        <w:t xml:space="preserve">86f </w:t>
      </w:r>
      <w:r w:rsidRPr="006A2A46">
        <w:rPr>
          <w:rFonts w:ascii="Calibri" w:eastAsia="Times New Roman" w:hAnsi="Calibri" w:cs="Calibri"/>
          <w:bCs/>
          <w:lang w:eastAsia="pl-PL"/>
        </w:rPr>
        <w:t xml:space="preserve">§ 4 Ordynacji podatkowej </w:t>
      </w:r>
      <w:r w:rsidRPr="006A2A46">
        <w:rPr>
          <w:rFonts w:ascii="Calibri" w:eastAsia="Times New Roman" w:hAnsi="Calibri" w:cs="Calibri"/>
          <w:lang w:eastAsia="pl-PL"/>
        </w:rPr>
        <w:t>, któremu w trakcie danego kwartału udostępniono Schemat Podatkowy Standaryzowany;</w:t>
      </w:r>
    </w:p>
    <w:p w14:paraId="2315E23B"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obowiązki MDR – obowiązki </w:t>
      </w:r>
      <w:r w:rsidR="004D3BF7">
        <w:rPr>
          <w:rFonts w:ascii="Calibri" w:eastAsia="Times New Roman" w:hAnsi="Calibri" w:cs="Calibri"/>
          <w:lang w:eastAsia="pl-PL"/>
        </w:rPr>
        <w:t>Gminy</w:t>
      </w:r>
      <w:r w:rsidRPr="006A2A46">
        <w:rPr>
          <w:rFonts w:ascii="Calibri" w:eastAsia="Times New Roman" w:hAnsi="Calibri" w:cs="Calibri"/>
          <w:lang w:eastAsia="pl-PL"/>
        </w:rPr>
        <w:t xml:space="preserve"> w zakresie identyfikacji i raportowania Schematów Podatkowych opisane w niniejszej Procedurze oraz Rozdziale 11a Ordynacji podatkowej;</w:t>
      </w:r>
    </w:p>
    <w:p w14:paraId="1994A7B0" w14:textId="172BC492" w:rsidR="006A2A46" w:rsidRPr="00B465C9" w:rsidRDefault="006A2A46" w:rsidP="006A2A46">
      <w:pPr>
        <w:numPr>
          <w:ilvl w:val="1"/>
          <w:numId w:val="1"/>
        </w:numPr>
        <w:spacing w:after="0" w:line="276" w:lineRule="auto"/>
        <w:jc w:val="both"/>
        <w:rPr>
          <w:rFonts w:eastAsia="Times New Roman" w:cstheme="minorHAnsi"/>
          <w:lang w:eastAsia="pl-PL"/>
        </w:rPr>
      </w:pPr>
      <w:r w:rsidRPr="006A2A46">
        <w:rPr>
          <w:rFonts w:ascii="Calibri" w:eastAsia="Times New Roman" w:hAnsi="Calibri" w:cs="Calibri"/>
          <w:lang w:eastAsia="pl-PL"/>
        </w:rPr>
        <w:t xml:space="preserve">Podmiot uczestniczący – podmiot biorący udział w uzgodnieniu, czynności lub czynnościach które mają lub mogą </w:t>
      </w:r>
      <w:r w:rsidRPr="00B465C9">
        <w:rPr>
          <w:rFonts w:eastAsia="Times New Roman" w:cstheme="minorHAnsi"/>
          <w:lang w:eastAsia="pl-PL"/>
        </w:rPr>
        <w:t>mieć wpływ na powstanie lub niepowstanie obowiązku podatkowego u Korzystającego.</w:t>
      </w:r>
    </w:p>
    <w:p w14:paraId="0520C6CC" w14:textId="420829EF" w:rsidR="00B465C9" w:rsidRPr="00B465C9" w:rsidRDefault="00B465C9" w:rsidP="006A2A46">
      <w:pPr>
        <w:numPr>
          <w:ilvl w:val="1"/>
          <w:numId w:val="1"/>
        </w:numPr>
        <w:spacing w:after="0" w:line="276" w:lineRule="auto"/>
        <w:jc w:val="both"/>
        <w:rPr>
          <w:rFonts w:eastAsia="Times New Roman" w:cstheme="minorHAnsi"/>
          <w:lang w:eastAsia="pl-PL"/>
        </w:rPr>
      </w:pPr>
      <w:r w:rsidRPr="00B465C9">
        <w:rPr>
          <w:rFonts w:ascii="Calibri" w:eastAsia="Times New Roman" w:hAnsi="Calibri" w:cs="Calibri"/>
          <w:lang w:eastAsia="pl-PL"/>
        </w:rPr>
        <w:t xml:space="preserve">Pracownik </w:t>
      </w:r>
      <w:r w:rsidRPr="006A2A46">
        <w:rPr>
          <w:rFonts w:ascii="Calibri" w:eastAsia="Times New Roman" w:hAnsi="Calibri" w:cs="Calibri"/>
          <w:lang w:eastAsia="pl-PL"/>
        </w:rPr>
        <w:t xml:space="preserve">– </w:t>
      </w:r>
      <w:r w:rsidRPr="00B465C9">
        <w:rPr>
          <w:rFonts w:ascii="Calibri" w:eastAsia="Times New Roman" w:hAnsi="Calibri" w:cs="Calibri"/>
          <w:lang w:eastAsia="pl-PL"/>
        </w:rPr>
        <w:t>osoba zatrudniona w Gminie, która zgodnie ze swoim zakresem czynności zajmuje się danym uzgodnieniem (ofertą, przedsięwzięciem, transakcją, umową);</w:t>
      </w:r>
    </w:p>
    <w:p w14:paraId="76F1C288"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lastRenderedPageBreak/>
        <w:t>Promotor indywidualny – osoba fizyczna związana relacją z podmiotem będącym Promotorem Schematu Podatkowego, w szczególności:</w:t>
      </w:r>
    </w:p>
    <w:p w14:paraId="33C0D311" w14:textId="77777777" w:rsidR="006A2A46" w:rsidRPr="006A2A46" w:rsidRDefault="006A2A46" w:rsidP="006A2A46">
      <w:pPr>
        <w:numPr>
          <w:ilvl w:val="2"/>
          <w:numId w:val="1"/>
        </w:numPr>
        <w:spacing w:after="0" w:line="276" w:lineRule="auto"/>
        <w:ind w:left="1021" w:hanging="283"/>
        <w:jc w:val="both"/>
        <w:rPr>
          <w:rFonts w:ascii="Calibri" w:eastAsia="Times New Roman" w:hAnsi="Calibri" w:cs="Calibri"/>
          <w:lang w:eastAsia="pl-PL"/>
        </w:rPr>
      </w:pPr>
      <w:r w:rsidRPr="006A2A46">
        <w:rPr>
          <w:rFonts w:ascii="Calibri" w:eastAsia="Times New Roman" w:hAnsi="Calibri" w:cs="Calibri"/>
          <w:lang w:eastAsia="pl-PL"/>
        </w:rPr>
        <w:t xml:space="preserve">Pracownik, który faktycznie podejmuje rozstrzygające lub kierunkowe decyzje w stosunku do oferowanego przez </w:t>
      </w:r>
      <w:r w:rsidR="004D3BF7">
        <w:rPr>
          <w:rFonts w:ascii="Calibri" w:eastAsia="Times New Roman" w:hAnsi="Calibri" w:cs="Calibri"/>
          <w:lang w:eastAsia="pl-PL"/>
        </w:rPr>
        <w:t>Gminę</w:t>
      </w:r>
      <w:r w:rsidRPr="006A2A46">
        <w:rPr>
          <w:rFonts w:ascii="Calibri" w:eastAsia="Times New Roman" w:hAnsi="Calibri" w:cs="Calibri"/>
          <w:lang w:eastAsia="pl-PL"/>
        </w:rPr>
        <w:t xml:space="preserve"> Schematu Podatkowego,</w:t>
      </w:r>
    </w:p>
    <w:p w14:paraId="076E102A" w14:textId="77777777" w:rsidR="006A2A46" w:rsidRPr="006A2A46" w:rsidRDefault="006A2A46" w:rsidP="006A2A46">
      <w:pPr>
        <w:numPr>
          <w:ilvl w:val="2"/>
          <w:numId w:val="1"/>
        </w:numPr>
        <w:spacing w:after="0" w:line="276" w:lineRule="auto"/>
        <w:ind w:left="1021" w:hanging="283"/>
        <w:jc w:val="both"/>
        <w:rPr>
          <w:rFonts w:ascii="Calibri" w:eastAsia="Times New Roman" w:hAnsi="Calibri" w:cs="Calibri"/>
          <w:lang w:eastAsia="pl-PL"/>
        </w:rPr>
      </w:pPr>
      <w:r w:rsidRPr="006A2A46">
        <w:rPr>
          <w:rFonts w:ascii="Calibri" w:eastAsia="Times New Roman" w:hAnsi="Calibri" w:cs="Calibri"/>
          <w:lang w:eastAsia="pl-PL"/>
        </w:rPr>
        <w:t xml:space="preserve">osoba samozatrudniona współpracująca z </w:t>
      </w:r>
      <w:r w:rsidR="004D3BF7">
        <w:rPr>
          <w:rFonts w:ascii="Calibri" w:eastAsia="Times New Roman" w:hAnsi="Calibri" w:cs="Calibri"/>
          <w:lang w:eastAsia="pl-PL"/>
        </w:rPr>
        <w:t>Gminą</w:t>
      </w:r>
      <w:r w:rsidRPr="006A2A46">
        <w:rPr>
          <w:rFonts w:ascii="Calibri" w:eastAsia="Times New Roman" w:hAnsi="Calibri" w:cs="Calibri"/>
          <w:lang w:eastAsia="pl-PL"/>
        </w:rPr>
        <w:t xml:space="preserve"> w ramach wykonywanej przez siebie działalności:</w:t>
      </w:r>
    </w:p>
    <w:p w14:paraId="246EDEB2" w14:textId="77777777" w:rsidR="006A2A46" w:rsidRPr="006A2A46" w:rsidRDefault="006A2A46" w:rsidP="006A2A46">
      <w:pPr>
        <w:numPr>
          <w:ilvl w:val="2"/>
          <w:numId w:val="15"/>
        </w:numPr>
        <w:spacing w:after="0" w:line="276" w:lineRule="auto"/>
        <w:ind w:left="1447" w:hanging="426"/>
        <w:jc w:val="both"/>
        <w:rPr>
          <w:rFonts w:ascii="Calibri" w:eastAsia="Times New Roman" w:hAnsi="Calibri" w:cs="Calibri"/>
          <w:lang w:eastAsia="pl-PL"/>
        </w:rPr>
      </w:pPr>
      <w:r w:rsidRPr="006A2A46">
        <w:rPr>
          <w:rFonts w:ascii="Calibri" w:eastAsia="Times New Roman" w:hAnsi="Calibri" w:cs="Calibri"/>
          <w:lang w:eastAsia="pl-PL"/>
        </w:rPr>
        <w:t xml:space="preserve">dysponująca samodzielnością w wykonywaniu powierzonych jej zadań, lub </w:t>
      </w:r>
    </w:p>
    <w:p w14:paraId="4C62186C" w14:textId="77777777" w:rsidR="006A2A46" w:rsidRPr="006A2A46" w:rsidRDefault="006A2A46" w:rsidP="006A2A46">
      <w:pPr>
        <w:numPr>
          <w:ilvl w:val="2"/>
          <w:numId w:val="15"/>
        </w:numPr>
        <w:spacing w:after="0" w:line="276" w:lineRule="auto"/>
        <w:ind w:left="1447" w:hanging="426"/>
        <w:jc w:val="both"/>
        <w:rPr>
          <w:rFonts w:ascii="Calibri" w:eastAsia="Times New Roman" w:hAnsi="Calibri" w:cs="Calibri"/>
          <w:lang w:eastAsia="pl-PL"/>
        </w:rPr>
      </w:pPr>
      <w:r w:rsidRPr="006A2A46">
        <w:rPr>
          <w:rFonts w:ascii="Calibri" w:eastAsia="Times New Roman" w:hAnsi="Calibri" w:cs="Calibri"/>
          <w:lang w:eastAsia="pl-PL"/>
        </w:rPr>
        <w:t xml:space="preserve">czerpiąca korzyści finansowe, których wysokość uzależniona jest od realizacji Schematu Podatkowego udostępnianego lub Schematu Podatkowego wdrażanego przez </w:t>
      </w:r>
      <w:r w:rsidR="004D3BF7">
        <w:rPr>
          <w:rFonts w:ascii="Calibri" w:eastAsia="Times New Roman" w:hAnsi="Calibri" w:cs="Calibri"/>
          <w:lang w:eastAsia="pl-PL"/>
        </w:rPr>
        <w:t>Gminę</w:t>
      </w:r>
      <w:r w:rsidRPr="006A2A46">
        <w:rPr>
          <w:rFonts w:ascii="Calibri" w:eastAsia="Times New Roman" w:hAnsi="Calibri" w:cs="Calibri"/>
          <w:lang w:eastAsia="pl-PL"/>
        </w:rPr>
        <w:t xml:space="preserve"> u innego Korzystającego.</w:t>
      </w:r>
    </w:p>
    <w:p w14:paraId="6A4FC531" w14:textId="77777777" w:rsidR="006A2A46" w:rsidRP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Udostępnienie Schematu Podatkowego – przekazanie w jakikolwiek sposób Korzystającemu kluczowych informacji o Schemacie Podatkowym, lub zawarcie z Korzystającym umowy albo przyjęcie wynagrodzenia z tytułu zawarcia umowy;</w:t>
      </w:r>
    </w:p>
    <w:p w14:paraId="114CE077" w14:textId="77777777" w:rsidR="006A2A46" w:rsidRDefault="006A2A46" w:rsidP="006A2A46">
      <w:pPr>
        <w:numPr>
          <w:ilvl w:val="1"/>
          <w:numId w:val="1"/>
        </w:num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Wdrażanie Schematu Podatkowego – dokonywanie działań służących wykonaniu Schematu Podatkowego, m.in. zarządzanie czynnościami dążącymi do wykonania Schematu, udzielanie porad w tym zakresie, w tym wykonywanie czynności przygotowania Schematu do wdrożenia.</w:t>
      </w:r>
    </w:p>
    <w:p w14:paraId="4D4BEBC7" w14:textId="7F02D229" w:rsidR="006A2A46" w:rsidRPr="004D3BF7" w:rsidRDefault="00846F69" w:rsidP="006A2A46">
      <w:pPr>
        <w:numPr>
          <w:ilvl w:val="1"/>
          <w:numId w:val="1"/>
        </w:numPr>
        <w:spacing w:after="0" w:line="276" w:lineRule="auto"/>
        <w:jc w:val="both"/>
        <w:rPr>
          <w:rFonts w:ascii="Calibri" w:eastAsia="Times New Roman" w:hAnsi="Calibri" w:cs="Calibri"/>
          <w:lang w:eastAsia="pl-PL"/>
        </w:rPr>
      </w:pPr>
      <w:r w:rsidRPr="004D3BF7">
        <w:rPr>
          <w:rFonts w:ascii="Calibri" w:eastAsia="Times New Roman" w:hAnsi="Calibri" w:cs="Calibri"/>
          <w:lang w:eastAsia="pl-PL"/>
        </w:rPr>
        <w:t xml:space="preserve">Władze </w:t>
      </w:r>
      <w:r w:rsidR="004D3BF7">
        <w:rPr>
          <w:rFonts w:ascii="Calibri" w:eastAsia="Times New Roman" w:hAnsi="Calibri" w:cs="Calibri"/>
          <w:lang w:eastAsia="pl-PL"/>
        </w:rPr>
        <w:t>Gminy</w:t>
      </w:r>
      <w:r w:rsidRPr="004D3BF7">
        <w:rPr>
          <w:rFonts w:ascii="Calibri" w:eastAsia="Times New Roman" w:hAnsi="Calibri" w:cs="Calibri"/>
          <w:lang w:eastAsia="pl-PL"/>
        </w:rPr>
        <w:t xml:space="preserve"> – </w:t>
      </w:r>
      <w:r w:rsidR="00C9403D">
        <w:rPr>
          <w:rFonts w:ascii="Calibri" w:eastAsia="Times New Roman" w:hAnsi="Calibri" w:cs="Calibri"/>
          <w:lang w:eastAsia="pl-PL"/>
        </w:rPr>
        <w:t xml:space="preserve">Wójt </w:t>
      </w:r>
      <w:r w:rsidR="004D3BF7" w:rsidRPr="004D3BF7">
        <w:rPr>
          <w:rFonts w:ascii="Calibri" w:eastAsia="Times New Roman" w:hAnsi="Calibri" w:cs="Calibri"/>
          <w:lang w:eastAsia="pl-PL"/>
        </w:rPr>
        <w:t>Gminy</w:t>
      </w:r>
      <w:r w:rsidRPr="004D3BF7">
        <w:rPr>
          <w:rFonts w:ascii="Calibri" w:eastAsia="Times New Roman" w:hAnsi="Calibri" w:cs="Calibri"/>
          <w:lang w:eastAsia="pl-PL"/>
        </w:rPr>
        <w:t xml:space="preserve">, Skarbnik </w:t>
      </w:r>
      <w:r w:rsidR="004D3BF7" w:rsidRPr="004D3BF7">
        <w:rPr>
          <w:rFonts w:ascii="Calibri" w:eastAsia="Times New Roman" w:hAnsi="Calibri" w:cs="Calibri"/>
          <w:lang w:eastAsia="pl-PL"/>
        </w:rPr>
        <w:t>Gminy</w:t>
      </w:r>
      <w:r w:rsidRPr="004D3BF7">
        <w:rPr>
          <w:rFonts w:ascii="Calibri" w:eastAsia="Times New Roman" w:hAnsi="Calibri" w:cs="Calibri"/>
          <w:lang w:eastAsia="pl-PL"/>
        </w:rPr>
        <w:t xml:space="preserve">, Sekretarz </w:t>
      </w:r>
      <w:r w:rsidR="004D3BF7" w:rsidRPr="004D3BF7">
        <w:rPr>
          <w:rFonts w:ascii="Calibri" w:eastAsia="Times New Roman" w:hAnsi="Calibri" w:cs="Calibri"/>
          <w:lang w:eastAsia="pl-PL"/>
        </w:rPr>
        <w:t>Gminy</w:t>
      </w:r>
      <w:r w:rsidR="004D3BF7">
        <w:rPr>
          <w:rFonts w:ascii="Calibri" w:eastAsia="Times New Roman" w:hAnsi="Calibri" w:cs="Calibri"/>
          <w:lang w:eastAsia="pl-PL"/>
        </w:rPr>
        <w:t>.</w:t>
      </w:r>
    </w:p>
    <w:p w14:paraId="74A1141F" w14:textId="77777777" w:rsidR="004F4D81" w:rsidRDefault="004F4D81">
      <w:pPr>
        <w:rPr>
          <w:rFonts w:ascii="Calibri" w:eastAsia="Times New Roman" w:hAnsi="Calibri" w:cs="Calibri"/>
          <w:lang w:eastAsia="pl-PL"/>
        </w:rPr>
      </w:pPr>
      <w:r>
        <w:rPr>
          <w:rFonts w:ascii="Calibri" w:eastAsia="Times New Roman" w:hAnsi="Calibri" w:cs="Calibri"/>
          <w:lang w:eastAsia="pl-PL"/>
        </w:rPr>
        <w:br w:type="page"/>
      </w:r>
    </w:p>
    <w:p w14:paraId="33CBBFC0" w14:textId="707E801D" w:rsidR="00EB173F" w:rsidRDefault="006A2A46" w:rsidP="00EB173F">
      <w:pPr>
        <w:pStyle w:val="Nagwek2"/>
        <w:rPr>
          <w:rFonts w:asciiTheme="minorHAnsi" w:eastAsia="Times New Roman" w:hAnsiTheme="minorHAnsi" w:cstheme="minorHAnsi"/>
          <w:color w:val="auto"/>
          <w:sz w:val="24"/>
          <w:szCs w:val="24"/>
        </w:rPr>
      </w:pPr>
      <w:bookmarkStart w:id="25" w:name="_Toc541027"/>
      <w:bookmarkStart w:id="26" w:name="_Toc65505173"/>
      <w:r w:rsidRPr="00EB173F">
        <w:rPr>
          <w:rFonts w:asciiTheme="minorHAnsi" w:eastAsia="Times New Roman" w:hAnsiTheme="minorHAnsi" w:cstheme="minorHAnsi"/>
          <w:color w:val="auto"/>
          <w:sz w:val="24"/>
          <w:szCs w:val="24"/>
        </w:rPr>
        <w:lastRenderedPageBreak/>
        <w:t>Załącznik</w:t>
      </w:r>
      <w:r w:rsidR="00EB173F">
        <w:rPr>
          <w:rFonts w:asciiTheme="minorHAnsi" w:eastAsia="Times New Roman" w:hAnsiTheme="minorHAnsi" w:cstheme="minorHAnsi"/>
          <w:color w:val="auto"/>
          <w:sz w:val="24"/>
          <w:szCs w:val="24"/>
        </w:rPr>
        <w:t xml:space="preserve"> nr</w:t>
      </w:r>
      <w:r w:rsidRPr="00EB173F">
        <w:rPr>
          <w:rFonts w:asciiTheme="minorHAnsi" w:eastAsia="Times New Roman" w:hAnsiTheme="minorHAnsi" w:cstheme="minorHAnsi"/>
          <w:color w:val="auto"/>
          <w:sz w:val="24"/>
          <w:szCs w:val="24"/>
        </w:rPr>
        <w:t xml:space="preserve"> 2: Obowiązki raportowe i formularze</w:t>
      </w:r>
      <w:bookmarkEnd w:id="25"/>
      <w:bookmarkEnd w:id="26"/>
    </w:p>
    <w:p w14:paraId="4005BF0A" w14:textId="77777777" w:rsidR="00EB173F" w:rsidRPr="00EB173F" w:rsidRDefault="00EB173F" w:rsidP="00EB173F"/>
    <w:tbl>
      <w:tblPr>
        <w:tblStyle w:val="Tabela-Siatka"/>
        <w:tblW w:w="0" w:type="auto"/>
        <w:tblLook w:val="04A0" w:firstRow="1" w:lastRow="0" w:firstColumn="1" w:lastColumn="0" w:noHBand="0" w:noVBand="1"/>
      </w:tblPr>
      <w:tblGrid>
        <w:gridCol w:w="562"/>
        <w:gridCol w:w="1193"/>
        <w:gridCol w:w="1926"/>
        <w:gridCol w:w="7082"/>
      </w:tblGrid>
      <w:tr w:rsidR="00825BB8" w:rsidRPr="00221E98" w14:paraId="3ED65B57" w14:textId="77777777" w:rsidTr="00825BB8">
        <w:trPr>
          <w:trHeight w:val="420"/>
        </w:trPr>
        <w:tc>
          <w:tcPr>
            <w:tcW w:w="10763" w:type="dxa"/>
            <w:gridSpan w:val="4"/>
            <w:shd w:val="clear" w:color="auto" w:fill="F4B083" w:themeFill="accent2" w:themeFillTint="99"/>
            <w:hideMark/>
          </w:tcPr>
          <w:p w14:paraId="76DE0798" w14:textId="77777777" w:rsidR="00825BB8" w:rsidRPr="00221E98" w:rsidRDefault="00825BB8" w:rsidP="0042643D">
            <w:pPr>
              <w:jc w:val="center"/>
              <w:rPr>
                <w:rFonts w:asciiTheme="minorHAnsi" w:hAnsiTheme="minorHAnsi" w:cstheme="minorHAnsi"/>
                <w:b/>
              </w:rPr>
            </w:pPr>
            <w:bookmarkStart w:id="27" w:name="_Toc541028"/>
            <w:r w:rsidRPr="00221E98">
              <w:rPr>
                <w:rFonts w:asciiTheme="minorHAnsi" w:hAnsiTheme="minorHAnsi" w:cstheme="minorHAnsi"/>
                <w:b/>
              </w:rPr>
              <w:t>Informacje o schematach podatkowych (MDR)</w:t>
            </w:r>
          </w:p>
        </w:tc>
      </w:tr>
      <w:tr w:rsidR="00825BB8" w:rsidRPr="00221E98" w14:paraId="14805B99" w14:textId="77777777" w:rsidTr="00825BB8">
        <w:trPr>
          <w:trHeight w:val="808"/>
        </w:trPr>
        <w:tc>
          <w:tcPr>
            <w:tcW w:w="562" w:type="dxa"/>
            <w:shd w:val="clear" w:color="auto" w:fill="F4B083" w:themeFill="accent2" w:themeFillTint="99"/>
            <w:hideMark/>
          </w:tcPr>
          <w:p w14:paraId="407ADBAB" w14:textId="77777777" w:rsidR="00825BB8" w:rsidRPr="00221E98" w:rsidRDefault="00825BB8" w:rsidP="0042643D">
            <w:pPr>
              <w:rPr>
                <w:rFonts w:asciiTheme="minorHAnsi" w:hAnsiTheme="minorHAnsi" w:cstheme="minorHAnsi"/>
                <w:b/>
              </w:rPr>
            </w:pPr>
            <w:r w:rsidRPr="00221E98">
              <w:rPr>
                <w:rFonts w:asciiTheme="minorHAnsi" w:hAnsiTheme="minorHAnsi" w:cstheme="minorHAnsi"/>
                <w:b/>
              </w:rPr>
              <w:t>Lp.</w:t>
            </w:r>
          </w:p>
        </w:tc>
        <w:tc>
          <w:tcPr>
            <w:tcW w:w="1193" w:type="dxa"/>
            <w:shd w:val="clear" w:color="auto" w:fill="F4B083" w:themeFill="accent2" w:themeFillTint="99"/>
            <w:hideMark/>
          </w:tcPr>
          <w:p w14:paraId="4449F867" w14:textId="77777777" w:rsidR="00825BB8" w:rsidRPr="00221E98" w:rsidRDefault="00825BB8" w:rsidP="0042643D">
            <w:pPr>
              <w:jc w:val="center"/>
              <w:rPr>
                <w:rFonts w:asciiTheme="minorHAnsi" w:hAnsiTheme="minorHAnsi" w:cstheme="minorHAnsi"/>
                <w:b/>
              </w:rPr>
            </w:pPr>
            <w:r w:rsidRPr="00221E98">
              <w:rPr>
                <w:rFonts w:asciiTheme="minorHAnsi" w:hAnsiTheme="minorHAnsi" w:cstheme="minorHAnsi"/>
                <w:b/>
              </w:rPr>
              <w:t>Nazwa formularza</w:t>
            </w:r>
          </w:p>
        </w:tc>
        <w:tc>
          <w:tcPr>
            <w:tcW w:w="1926" w:type="dxa"/>
            <w:shd w:val="clear" w:color="auto" w:fill="F4B083" w:themeFill="accent2" w:themeFillTint="99"/>
            <w:hideMark/>
          </w:tcPr>
          <w:p w14:paraId="64CB539E" w14:textId="77777777" w:rsidR="00825BB8" w:rsidRPr="00221E98" w:rsidRDefault="00825BB8" w:rsidP="0042643D">
            <w:pPr>
              <w:jc w:val="center"/>
              <w:rPr>
                <w:rFonts w:asciiTheme="minorHAnsi" w:hAnsiTheme="minorHAnsi" w:cstheme="minorHAnsi"/>
                <w:b/>
              </w:rPr>
            </w:pPr>
            <w:r w:rsidRPr="00221E98">
              <w:rPr>
                <w:rFonts w:asciiTheme="minorHAnsi" w:hAnsiTheme="minorHAnsi" w:cstheme="minorHAnsi"/>
                <w:b/>
              </w:rPr>
              <w:t>Cel</w:t>
            </w:r>
          </w:p>
        </w:tc>
        <w:tc>
          <w:tcPr>
            <w:tcW w:w="7082" w:type="dxa"/>
            <w:shd w:val="clear" w:color="auto" w:fill="F4B083" w:themeFill="accent2" w:themeFillTint="99"/>
            <w:hideMark/>
          </w:tcPr>
          <w:p w14:paraId="6753CA2F" w14:textId="77777777" w:rsidR="00825BB8" w:rsidRPr="00825BB8" w:rsidRDefault="00825BB8" w:rsidP="00825BB8">
            <w:pPr>
              <w:spacing w:after="200" w:line="276" w:lineRule="auto"/>
              <w:jc w:val="center"/>
              <w:rPr>
                <w:rFonts w:cs="Calibri"/>
                <w:b/>
                <w:color w:val="ED7D31" w:themeColor="accent2"/>
              </w:rPr>
            </w:pPr>
            <w:r>
              <w:rPr>
                <w:rFonts w:cs="Calibri"/>
                <w:b/>
              </w:rPr>
              <w:t>Wyjaśnienie</w:t>
            </w:r>
          </w:p>
        </w:tc>
      </w:tr>
      <w:tr w:rsidR="00825BB8" w:rsidRPr="00221E98" w14:paraId="377DA16E" w14:textId="77777777" w:rsidTr="0042643D">
        <w:trPr>
          <w:trHeight w:val="1646"/>
        </w:trPr>
        <w:tc>
          <w:tcPr>
            <w:tcW w:w="562" w:type="dxa"/>
            <w:vMerge w:val="restart"/>
            <w:hideMark/>
          </w:tcPr>
          <w:p w14:paraId="1B46ACFD"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1</w:t>
            </w:r>
          </w:p>
        </w:tc>
        <w:tc>
          <w:tcPr>
            <w:tcW w:w="1193" w:type="dxa"/>
            <w:vMerge w:val="restart"/>
            <w:hideMark/>
          </w:tcPr>
          <w:p w14:paraId="0167266D"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MDR-1</w:t>
            </w:r>
          </w:p>
        </w:tc>
        <w:tc>
          <w:tcPr>
            <w:tcW w:w="1926" w:type="dxa"/>
            <w:vMerge w:val="restart"/>
            <w:hideMark/>
          </w:tcPr>
          <w:p w14:paraId="6D39E622"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Informacja o schemacie podatkowym</w:t>
            </w:r>
          </w:p>
        </w:tc>
        <w:tc>
          <w:tcPr>
            <w:tcW w:w="7082" w:type="dxa"/>
            <w:hideMark/>
          </w:tcPr>
          <w:p w14:paraId="613E8B94"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[promotor]</w:t>
            </w:r>
            <w:r w:rsidRPr="00221E98">
              <w:rPr>
                <w:rFonts w:asciiTheme="minorHAnsi" w:hAnsiTheme="minorHAnsi" w:cstheme="minorHAnsi"/>
              </w:rPr>
              <w:t xml:space="preserve"> Promotor przekazuje Szefowi KAS informację o schemacie podatkowym w terminie 30 dni od dnia następnego po udostępnieniu schematu podatkowego, od następnego dnia po przygotowaniu do wdrożenia schematu podatkowego lub od dnia dokonania pierwszej czynności związanej z wdrażaniem schematu podatkowego - w zależności od tego, które z tych zdarzeń nastąpi wcześniej.</w:t>
            </w:r>
          </w:p>
        </w:tc>
      </w:tr>
      <w:tr w:rsidR="00825BB8" w:rsidRPr="00221E98" w14:paraId="02C6F703" w14:textId="77777777" w:rsidTr="0042643D">
        <w:trPr>
          <w:trHeight w:val="3900"/>
        </w:trPr>
        <w:tc>
          <w:tcPr>
            <w:tcW w:w="562" w:type="dxa"/>
            <w:vMerge/>
            <w:hideMark/>
          </w:tcPr>
          <w:p w14:paraId="69A6CBAE" w14:textId="77777777" w:rsidR="00825BB8" w:rsidRPr="00221E98" w:rsidRDefault="00825BB8" w:rsidP="0042643D">
            <w:pPr>
              <w:rPr>
                <w:rFonts w:asciiTheme="minorHAnsi" w:hAnsiTheme="minorHAnsi" w:cstheme="minorHAnsi"/>
              </w:rPr>
            </w:pPr>
          </w:p>
        </w:tc>
        <w:tc>
          <w:tcPr>
            <w:tcW w:w="1193" w:type="dxa"/>
            <w:vMerge/>
            <w:hideMark/>
          </w:tcPr>
          <w:p w14:paraId="3EE0C06E" w14:textId="77777777" w:rsidR="00825BB8" w:rsidRPr="00221E98" w:rsidRDefault="00825BB8" w:rsidP="0042643D">
            <w:pPr>
              <w:rPr>
                <w:rFonts w:asciiTheme="minorHAnsi" w:hAnsiTheme="minorHAnsi" w:cstheme="minorHAnsi"/>
              </w:rPr>
            </w:pPr>
          </w:p>
        </w:tc>
        <w:tc>
          <w:tcPr>
            <w:tcW w:w="1926" w:type="dxa"/>
            <w:vMerge/>
            <w:hideMark/>
          </w:tcPr>
          <w:p w14:paraId="4F431D38" w14:textId="77777777" w:rsidR="00825BB8" w:rsidRPr="00221E98" w:rsidRDefault="00825BB8" w:rsidP="0042643D">
            <w:pPr>
              <w:rPr>
                <w:rFonts w:asciiTheme="minorHAnsi" w:hAnsiTheme="minorHAnsi" w:cstheme="minorHAnsi"/>
              </w:rPr>
            </w:pPr>
          </w:p>
        </w:tc>
        <w:tc>
          <w:tcPr>
            <w:tcW w:w="7082" w:type="dxa"/>
            <w:hideMark/>
          </w:tcPr>
          <w:p w14:paraId="5CC4BE57"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[wspomagający]</w:t>
            </w:r>
            <w:r w:rsidRPr="00221E98">
              <w:rPr>
                <w:rFonts w:asciiTheme="minorHAnsi" w:hAnsiTheme="minorHAnsi" w:cstheme="minorHAnsi"/>
              </w:rPr>
              <w:t xml:space="preserve"> </w:t>
            </w:r>
            <w:r w:rsidRPr="00221E98">
              <w:rPr>
                <w:rFonts w:asciiTheme="minorHAnsi" w:hAnsiTheme="minorHAnsi" w:cstheme="minorHAnsi"/>
                <w:i/>
                <w:iCs/>
              </w:rPr>
              <w:t>W przypadku (i) schematów podatkowych standaryzowanych oraz (ii) schematów podatkowych niestandaryzowanych, jeżeli promotor został zwolniony z obowiązku zachowania tajemnicy zawodowej</w:t>
            </w:r>
            <w:r w:rsidRPr="00221E98">
              <w:rPr>
                <w:rFonts w:asciiTheme="minorHAnsi" w:hAnsiTheme="minorHAnsi" w:cstheme="minorHAnsi"/>
                <w:i/>
                <w:iCs/>
              </w:rPr>
              <w:br/>
            </w:r>
            <w:r w:rsidRPr="00221E98">
              <w:rPr>
                <w:rFonts w:asciiTheme="minorHAnsi" w:hAnsiTheme="minorHAnsi" w:cstheme="minorHAnsi"/>
              </w:rPr>
              <w:t>Jeżeli wspomagający nie został poinformowany o NSP/ braku NSP, przekazuje Szefowi KAS informację o schemacie podatkowym, jeżeli dostrzegł lub powinien był dostrzec, że uzgodnienie stanowi schemat podatkowy, w terminie:</w:t>
            </w:r>
            <w:r w:rsidRPr="00221E98">
              <w:rPr>
                <w:rFonts w:asciiTheme="minorHAnsi" w:hAnsiTheme="minorHAnsi" w:cstheme="minorHAnsi"/>
              </w:rPr>
              <w:br/>
              <w:t>- 30 dni od dnia następnego po udostępnieniu schematu podatkowego, od następnego dnia po przygotowaniu do wdrożenia schematu podatkowego lub od dnia dokonania pierwszej czynności związanej z wdrażaniem schematu podatkowego;</w:t>
            </w:r>
            <w:r w:rsidRPr="00221E98">
              <w:rPr>
                <w:rFonts w:asciiTheme="minorHAnsi" w:hAnsiTheme="minorHAnsi" w:cstheme="minorHAnsi"/>
              </w:rPr>
              <w:br/>
              <w:t>- 30 dni od następnego dnia po udzieleniu bezpośrednio lub za pośrednictwem innych osób, pomocy, wsparcia lub porad dotyczących opracowania, wprowadzenia do obrotu, organizowania, udostępnienia do wdrożenia lub nadzorowania wdrożenia schematu podatkowego</w:t>
            </w:r>
            <w:r w:rsidRPr="00221E98">
              <w:rPr>
                <w:rFonts w:asciiTheme="minorHAnsi" w:hAnsiTheme="minorHAnsi" w:cstheme="minorHAnsi"/>
              </w:rPr>
              <w:br/>
              <w:t>[</w:t>
            </w:r>
            <w:r w:rsidRPr="00221E98">
              <w:rPr>
                <w:rFonts w:asciiTheme="minorHAnsi" w:hAnsiTheme="minorHAnsi" w:cstheme="minorHAnsi"/>
                <w:i/>
                <w:iCs/>
              </w:rPr>
              <w:t>termin biegnie od najwcześniejszego z powyżej wskazanych zdarzeń</w:t>
            </w:r>
            <w:r w:rsidRPr="00221E98">
              <w:rPr>
                <w:rFonts w:asciiTheme="minorHAnsi" w:hAnsiTheme="minorHAnsi" w:cstheme="minorHAnsi"/>
              </w:rPr>
              <w:t>].</w:t>
            </w:r>
          </w:p>
        </w:tc>
      </w:tr>
      <w:tr w:rsidR="00825BB8" w:rsidRPr="00221E98" w14:paraId="0F2C160C" w14:textId="77777777" w:rsidTr="0042643D">
        <w:trPr>
          <w:trHeight w:val="2858"/>
        </w:trPr>
        <w:tc>
          <w:tcPr>
            <w:tcW w:w="562" w:type="dxa"/>
            <w:vMerge/>
            <w:hideMark/>
          </w:tcPr>
          <w:p w14:paraId="25FED4AE" w14:textId="77777777" w:rsidR="00825BB8" w:rsidRPr="00221E98" w:rsidRDefault="00825BB8" w:rsidP="0042643D">
            <w:pPr>
              <w:rPr>
                <w:rFonts w:asciiTheme="minorHAnsi" w:hAnsiTheme="minorHAnsi" w:cstheme="minorHAnsi"/>
              </w:rPr>
            </w:pPr>
          </w:p>
        </w:tc>
        <w:tc>
          <w:tcPr>
            <w:tcW w:w="1193" w:type="dxa"/>
            <w:vMerge/>
            <w:hideMark/>
          </w:tcPr>
          <w:p w14:paraId="3C31DF98" w14:textId="77777777" w:rsidR="00825BB8" w:rsidRPr="00221E98" w:rsidRDefault="00825BB8" w:rsidP="0042643D">
            <w:pPr>
              <w:rPr>
                <w:rFonts w:asciiTheme="minorHAnsi" w:hAnsiTheme="minorHAnsi" w:cstheme="minorHAnsi"/>
              </w:rPr>
            </w:pPr>
          </w:p>
        </w:tc>
        <w:tc>
          <w:tcPr>
            <w:tcW w:w="1926" w:type="dxa"/>
            <w:vMerge/>
            <w:hideMark/>
          </w:tcPr>
          <w:p w14:paraId="605BA687" w14:textId="77777777" w:rsidR="00825BB8" w:rsidRPr="00221E98" w:rsidRDefault="00825BB8" w:rsidP="0042643D">
            <w:pPr>
              <w:rPr>
                <w:rFonts w:asciiTheme="minorHAnsi" w:hAnsiTheme="minorHAnsi" w:cstheme="minorHAnsi"/>
              </w:rPr>
            </w:pPr>
          </w:p>
        </w:tc>
        <w:tc>
          <w:tcPr>
            <w:tcW w:w="7082" w:type="dxa"/>
            <w:hideMark/>
          </w:tcPr>
          <w:p w14:paraId="371080DB"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[korzystający]</w:t>
            </w:r>
            <w:r w:rsidRPr="00221E98">
              <w:rPr>
                <w:rFonts w:asciiTheme="minorHAnsi" w:hAnsiTheme="minorHAnsi" w:cstheme="minorHAnsi"/>
              </w:rPr>
              <w:t xml:space="preserve"> Jeżeli korzystający nie został poinformowany o NSP/ braku NSP/ w przypadku braku promotora w schemacie podatkowym, przekazuje Szefowi KAS informację o schemacie podatkowym w terminie 30 dni od dnia następującego po udostępnieniu mu schematu podatkowego, przygotowaniu przez niego schematu podatkowego do wdrożenia lub od dnia dokonania pierwszej czynności związanej z wdrażaniem schematu podatkowego przez korzystającego, w zależności od tego, które z tych zdarzeń nastąpi wcześniej.</w:t>
            </w:r>
            <w:r w:rsidRPr="00221E98">
              <w:rPr>
                <w:rFonts w:asciiTheme="minorHAnsi" w:hAnsiTheme="minorHAnsi" w:cstheme="minorHAnsi"/>
              </w:rPr>
              <w:br/>
              <w:t>Korzystający przekazuje informację o schemacie podatkowym do Szefa KAS również w przypadku schematu podatkowego innego niż standaryzowany, jeżeli nie zwolnił promotora z obowiązku zachowania tajemnicy zawodowej.</w:t>
            </w:r>
          </w:p>
        </w:tc>
      </w:tr>
      <w:tr w:rsidR="00825BB8" w:rsidRPr="00221E98" w14:paraId="249D6DF9" w14:textId="77777777" w:rsidTr="0042643D">
        <w:trPr>
          <w:trHeight w:val="2713"/>
        </w:trPr>
        <w:tc>
          <w:tcPr>
            <w:tcW w:w="562" w:type="dxa"/>
            <w:vMerge w:val="restart"/>
            <w:hideMark/>
          </w:tcPr>
          <w:p w14:paraId="29567E96"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2</w:t>
            </w:r>
          </w:p>
        </w:tc>
        <w:tc>
          <w:tcPr>
            <w:tcW w:w="1193" w:type="dxa"/>
            <w:vMerge w:val="restart"/>
            <w:hideMark/>
          </w:tcPr>
          <w:p w14:paraId="76430B1E"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MDR-2</w:t>
            </w:r>
          </w:p>
        </w:tc>
        <w:tc>
          <w:tcPr>
            <w:tcW w:w="1926" w:type="dxa"/>
            <w:vMerge w:val="restart"/>
            <w:hideMark/>
          </w:tcPr>
          <w:p w14:paraId="050E7ACF"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Zawiadomienie dotyczące schematu podatkowego</w:t>
            </w:r>
          </w:p>
        </w:tc>
        <w:tc>
          <w:tcPr>
            <w:tcW w:w="7082" w:type="dxa"/>
            <w:hideMark/>
          </w:tcPr>
          <w:p w14:paraId="178A02E3"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[promotor]</w:t>
            </w:r>
            <w:r w:rsidRPr="00221E98">
              <w:rPr>
                <w:rFonts w:asciiTheme="minorHAnsi" w:hAnsiTheme="minorHAnsi" w:cstheme="minorHAnsi"/>
              </w:rPr>
              <w:t xml:space="preserve"> </w:t>
            </w:r>
            <w:r w:rsidRPr="00221E98">
              <w:rPr>
                <w:rFonts w:asciiTheme="minorHAnsi" w:hAnsiTheme="minorHAnsi" w:cstheme="minorHAnsi"/>
                <w:i/>
                <w:iCs/>
              </w:rPr>
              <w:t>W przypadku gdy przekazanie przez promotora informacji o schemacie podatkowym innym niż schemat podatkowy standaryzowany naruszałoby obowiązek zachowania prawnie chronionej tajemnicy zawodowej i promotor nie został zwolniony przez korzystającego z obowiązku jej zachowania w tym zakresie</w:t>
            </w:r>
            <w:r w:rsidRPr="00221E98">
              <w:rPr>
                <w:rFonts w:asciiTheme="minorHAnsi" w:hAnsiTheme="minorHAnsi" w:cstheme="minorHAnsi"/>
              </w:rPr>
              <w:br/>
              <w:t>Promotor, w terminie 30 dni od dnia, w którym poinformował korzystającego lub inne podmioty o obowiązku przekazania informacji o schemacie podatkowym, zawiadamia Szefa KAS o poinformowaniu korzystającego oraz innych podmiotów o obowiązku przekazania schematu podatkowego, wskazując datę udostępnienia schematu podatkowego lub dokonania czynności związanej z wdrażaniem schematu podatkowego oraz liczbę podmiotów, które poinformował.</w:t>
            </w:r>
          </w:p>
        </w:tc>
      </w:tr>
      <w:tr w:rsidR="00825BB8" w:rsidRPr="00221E98" w14:paraId="086D9315" w14:textId="77777777" w:rsidTr="0042643D">
        <w:trPr>
          <w:trHeight w:val="4730"/>
        </w:trPr>
        <w:tc>
          <w:tcPr>
            <w:tcW w:w="562" w:type="dxa"/>
            <w:vMerge/>
            <w:hideMark/>
          </w:tcPr>
          <w:p w14:paraId="4690A314" w14:textId="77777777" w:rsidR="00825BB8" w:rsidRPr="00221E98" w:rsidRDefault="00825BB8" w:rsidP="0042643D">
            <w:pPr>
              <w:rPr>
                <w:rFonts w:asciiTheme="minorHAnsi" w:hAnsiTheme="minorHAnsi" w:cstheme="minorHAnsi"/>
              </w:rPr>
            </w:pPr>
          </w:p>
        </w:tc>
        <w:tc>
          <w:tcPr>
            <w:tcW w:w="1193" w:type="dxa"/>
            <w:vMerge/>
            <w:hideMark/>
          </w:tcPr>
          <w:p w14:paraId="35CD03E4" w14:textId="77777777" w:rsidR="00825BB8" w:rsidRPr="00221E98" w:rsidRDefault="00825BB8" w:rsidP="0042643D">
            <w:pPr>
              <w:rPr>
                <w:rFonts w:asciiTheme="minorHAnsi" w:hAnsiTheme="minorHAnsi" w:cstheme="minorHAnsi"/>
              </w:rPr>
            </w:pPr>
          </w:p>
        </w:tc>
        <w:tc>
          <w:tcPr>
            <w:tcW w:w="1926" w:type="dxa"/>
            <w:vMerge/>
            <w:hideMark/>
          </w:tcPr>
          <w:p w14:paraId="151B2290" w14:textId="77777777" w:rsidR="00825BB8" w:rsidRPr="00221E98" w:rsidRDefault="00825BB8" w:rsidP="0042643D">
            <w:pPr>
              <w:rPr>
                <w:rFonts w:asciiTheme="minorHAnsi" w:hAnsiTheme="minorHAnsi" w:cstheme="minorHAnsi"/>
              </w:rPr>
            </w:pPr>
          </w:p>
        </w:tc>
        <w:tc>
          <w:tcPr>
            <w:tcW w:w="7082" w:type="dxa"/>
            <w:hideMark/>
          </w:tcPr>
          <w:p w14:paraId="4D09B4E5"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[wspomagający]</w:t>
            </w:r>
            <w:r w:rsidRPr="00221E98">
              <w:rPr>
                <w:rFonts w:asciiTheme="minorHAnsi" w:hAnsiTheme="minorHAnsi" w:cstheme="minorHAnsi"/>
              </w:rPr>
              <w:t xml:space="preserve"> </w:t>
            </w:r>
            <w:r w:rsidRPr="00221E98">
              <w:rPr>
                <w:rFonts w:asciiTheme="minorHAnsi" w:hAnsiTheme="minorHAnsi" w:cstheme="minorHAnsi"/>
                <w:i/>
                <w:iCs/>
              </w:rPr>
              <w:t>W przypadku, gdy wspomagający nie został poinformowany o NSP/ braku NSP:</w:t>
            </w:r>
            <w:r w:rsidRPr="00221E98">
              <w:rPr>
                <w:rFonts w:asciiTheme="minorHAnsi" w:hAnsiTheme="minorHAnsi" w:cstheme="minorHAnsi"/>
                <w:i/>
                <w:iCs/>
              </w:rPr>
              <w:br/>
            </w:r>
            <w:r w:rsidRPr="00221E98">
              <w:rPr>
                <w:rFonts w:asciiTheme="minorHAnsi" w:hAnsiTheme="minorHAnsi" w:cstheme="minorHAnsi"/>
              </w:rPr>
              <w:t>1) jeżeli powziął lub powinien był powziąć wątpliwości, że uzgodnienie może stanowić schemat podatkowy - zawiadamia Szefa KAS o wystąpieniu do promotora/ korzystającego wskazując dzień, w którym powziął wątpliwości, że uzgodnienie stanowi schemat podatkowy oraz liczbę podmiotów, do których wystąpił o przekazanie mu pisemnego oświadczenia, że uzgodnienie nie stanowi schematu podatkowego, w terminie 5 dni roboczych od dnia, w którym powziął lub powinien był powziąć wątpliwości;</w:t>
            </w:r>
            <w:r w:rsidRPr="00221E98">
              <w:rPr>
                <w:rFonts w:asciiTheme="minorHAnsi" w:hAnsiTheme="minorHAnsi" w:cstheme="minorHAnsi"/>
              </w:rPr>
              <w:br/>
              <w:t>2) w przypadku gdy przekazanie informacji o schemacie podatkowym naruszałoby obowiązek zachowania prawnie chronionej tajemnicy zawodowej i wspomagający nie został zwolniony z obowiązku jej  zachowania przez korzystającego w tym zakresie, zawiadamia Szefa KAS o wystąpieniu takiej sytuacji, wskazując dzień, w którym dostrzegł, że uzgodnienie stanowi schemat podatkowy oraz liczbę podmiotów, które poinformował o obowiązku przekazania informacji Szefowi KAS, w terminie 30 dni od następnego dnia po udzieleniu bezpośrednio lub za pośrednictwem innych osób, pomocy, wsparcia lub porad dotyczących opracowania, wprowadzenia do obrotu, organizowania, udostępnienia do wdrożenia lub nadzorowania wdrożenia schematu podatkowego.</w:t>
            </w:r>
          </w:p>
        </w:tc>
      </w:tr>
      <w:tr w:rsidR="00825BB8" w:rsidRPr="00221E98" w14:paraId="131EA620" w14:textId="77777777" w:rsidTr="0042643D">
        <w:trPr>
          <w:trHeight w:val="557"/>
        </w:trPr>
        <w:tc>
          <w:tcPr>
            <w:tcW w:w="562" w:type="dxa"/>
            <w:hideMark/>
          </w:tcPr>
          <w:p w14:paraId="6EB03098"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3</w:t>
            </w:r>
          </w:p>
        </w:tc>
        <w:tc>
          <w:tcPr>
            <w:tcW w:w="1193" w:type="dxa"/>
            <w:hideMark/>
          </w:tcPr>
          <w:p w14:paraId="7845183F"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MDR-3</w:t>
            </w:r>
          </w:p>
        </w:tc>
        <w:tc>
          <w:tcPr>
            <w:tcW w:w="1926" w:type="dxa"/>
            <w:hideMark/>
          </w:tcPr>
          <w:p w14:paraId="0DC031C9"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Informacja korzystającego o schemacie podatkowym</w:t>
            </w:r>
          </w:p>
        </w:tc>
        <w:tc>
          <w:tcPr>
            <w:tcW w:w="7082" w:type="dxa"/>
            <w:hideMark/>
          </w:tcPr>
          <w:p w14:paraId="21429A1A"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[korzystający]</w:t>
            </w:r>
            <w:r w:rsidRPr="00221E98">
              <w:rPr>
                <w:rFonts w:asciiTheme="minorHAnsi" w:hAnsiTheme="minorHAnsi" w:cstheme="minorHAnsi"/>
              </w:rPr>
              <w:t xml:space="preserve"> Korzystający, który dokonywał w danym okresie rozliczeniowym jakichkolwiek czynności będących elementem schematu podatkowego lub uzyskiwał wynikającą z takiego schematu podatkowego korzyść podatkową, przekazuje do Szefa KAS informację o zastosowaniu schematu podatkowego.</w:t>
            </w:r>
            <w:r w:rsidRPr="00221E98">
              <w:rPr>
                <w:rFonts w:asciiTheme="minorHAnsi" w:hAnsiTheme="minorHAnsi" w:cstheme="minorHAnsi"/>
              </w:rPr>
              <w:br/>
              <w:t>Informację należy przekazać  w terminie złożenia deklaracji podatkowej odnoszącej się do podatku którego dotyczy schemat, dotyczącej danego okresu rozliczeniowego.</w:t>
            </w:r>
            <w:r w:rsidRPr="00221E98">
              <w:rPr>
                <w:rFonts w:asciiTheme="minorHAnsi" w:hAnsiTheme="minorHAnsi" w:cstheme="minorHAnsi"/>
              </w:rPr>
              <w:br/>
              <w:t xml:space="preserve">Informacja jest podpisywana przez </w:t>
            </w:r>
            <w:r>
              <w:rPr>
                <w:rFonts w:asciiTheme="minorHAnsi" w:hAnsiTheme="minorHAnsi" w:cstheme="minorHAnsi"/>
              </w:rPr>
              <w:t xml:space="preserve">Osobę upoważnioną do </w:t>
            </w:r>
            <w:r w:rsidRPr="00F95DF4">
              <w:rPr>
                <w:rFonts w:asciiTheme="minorHAnsi" w:hAnsiTheme="minorHAnsi" w:cstheme="minorHAnsi"/>
              </w:rPr>
              <w:t>reprezent</w:t>
            </w:r>
            <w:r>
              <w:rPr>
                <w:rFonts w:asciiTheme="minorHAnsi" w:hAnsiTheme="minorHAnsi" w:cstheme="minorHAnsi"/>
              </w:rPr>
              <w:t>acji</w:t>
            </w:r>
            <w:r w:rsidRPr="00221E98">
              <w:rPr>
                <w:rFonts w:asciiTheme="minorHAnsi" w:hAnsiTheme="minorHAnsi" w:cstheme="minorHAnsi"/>
              </w:rPr>
              <w:t>. Dowód złożenia podpis</w:t>
            </w:r>
            <w:r>
              <w:rPr>
                <w:rFonts w:asciiTheme="minorHAnsi" w:hAnsiTheme="minorHAnsi" w:cstheme="minorHAnsi"/>
              </w:rPr>
              <w:t>u</w:t>
            </w:r>
            <w:r w:rsidRPr="00221E98">
              <w:rPr>
                <w:rFonts w:asciiTheme="minorHAnsi" w:hAnsiTheme="minorHAnsi" w:cstheme="minorHAnsi"/>
              </w:rPr>
              <w:t xml:space="preserve"> przez </w:t>
            </w:r>
            <w:r>
              <w:rPr>
                <w:rFonts w:asciiTheme="minorHAnsi" w:hAnsiTheme="minorHAnsi" w:cstheme="minorHAnsi"/>
              </w:rPr>
              <w:t>ww.</w:t>
            </w:r>
            <w:r w:rsidRPr="00221E98">
              <w:rPr>
                <w:rFonts w:asciiTheme="minorHAnsi" w:hAnsiTheme="minorHAnsi" w:cstheme="minorHAnsi"/>
              </w:rPr>
              <w:t xml:space="preserve"> </w:t>
            </w:r>
            <w:r>
              <w:rPr>
                <w:rFonts w:asciiTheme="minorHAnsi" w:hAnsiTheme="minorHAnsi" w:cstheme="minorHAnsi"/>
              </w:rPr>
              <w:t>O</w:t>
            </w:r>
            <w:r w:rsidRPr="00221E98">
              <w:rPr>
                <w:rFonts w:asciiTheme="minorHAnsi" w:hAnsiTheme="minorHAnsi" w:cstheme="minorHAnsi"/>
              </w:rPr>
              <w:t>sob</w:t>
            </w:r>
            <w:r>
              <w:rPr>
                <w:rFonts w:asciiTheme="minorHAnsi" w:hAnsiTheme="minorHAnsi" w:cstheme="minorHAnsi"/>
              </w:rPr>
              <w:t>ę</w:t>
            </w:r>
            <w:r w:rsidRPr="00221E98">
              <w:rPr>
                <w:rFonts w:asciiTheme="minorHAnsi" w:hAnsiTheme="minorHAnsi" w:cstheme="minorHAnsi"/>
              </w:rPr>
              <w:t xml:space="preserve"> przekazywany jest za pomocą środków komunikacji elektronicznej do Szefa KAS</w:t>
            </w:r>
            <w:r>
              <w:rPr>
                <w:rFonts w:asciiTheme="minorHAnsi" w:hAnsiTheme="minorHAnsi" w:cstheme="minorHAnsi"/>
              </w:rPr>
              <w:t>.</w:t>
            </w:r>
          </w:p>
        </w:tc>
      </w:tr>
      <w:tr w:rsidR="00825BB8" w:rsidRPr="00221E98" w14:paraId="0010C088" w14:textId="77777777" w:rsidTr="0042643D">
        <w:trPr>
          <w:trHeight w:val="2233"/>
        </w:trPr>
        <w:tc>
          <w:tcPr>
            <w:tcW w:w="562" w:type="dxa"/>
            <w:hideMark/>
          </w:tcPr>
          <w:p w14:paraId="19D7C277"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4</w:t>
            </w:r>
          </w:p>
        </w:tc>
        <w:tc>
          <w:tcPr>
            <w:tcW w:w="1193" w:type="dxa"/>
            <w:hideMark/>
          </w:tcPr>
          <w:p w14:paraId="054C027C"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MDR-4</w:t>
            </w:r>
          </w:p>
        </w:tc>
        <w:tc>
          <w:tcPr>
            <w:tcW w:w="1926" w:type="dxa"/>
            <w:hideMark/>
          </w:tcPr>
          <w:p w14:paraId="50080BD0" w14:textId="77777777" w:rsidR="00825BB8" w:rsidRPr="00221E98" w:rsidRDefault="00825BB8" w:rsidP="0042643D">
            <w:pPr>
              <w:rPr>
                <w:rFonts w:asciiTheme="minorHAnsi" w:hAnsiTheme="minorHAnsi" w:cstheme="minorHAnsi"/>
              </w:rPr>
            </w:pPr>
            <w:r w:rsidRPr="00221E98">
              <w:rPr>
                <w:rFonts w:asciiTheme="minorHAnsi" w:hAnsiTheme="minorHAnsi" w:cstheme="minorHAnsi"/>
              </w:rPr>
              <w:t>Kwartalna informacja o udostępnieniu schematu podatkowego standaryzowanego</w:t>
            </w:r>
          </w:p>
        </w:tc>
        <w:tc>
          <w:tcPr>
            <w:tcW w:w="7082" w:type="dxa"/>
            <w:hideMark/>
          </w:tcPr>
          <w:p w14:paraId="5FBA1050" w14:textId="77777777" w:rsidR="00825BB8" w:rsidRPr="00221E98" w:rsidRDefault="00825BB8" w:rsidP="0042643D">
            <w:pPr>
              <w:jc w:val="both"/>
              <w:rPr>
                <w:rFonts w:asciiTheme="minorHAnsi" w:hAnsiTheme="minorHAnsi" w:cstheme="minorHAnsi"/>
              </w:rPr>
            </w:pPr>
            <w:r w:rsidRPr="00221E98">
              <w:rPr>
                <w:rFonts w:asciiTheme="minorHAnsi" w:hAnsiTheme="minorHAnsi" w:cstheme="minorHAnsi"/>
                <w:b/>
              </w:rPr>
              <w:t>[promotor/ wspomagający]</w:t>
            </w:r>
            <w:r w:rsidRPr="00221E98">
              <w:rPr>
                <w:rFonts w:asciiTheme="minorHAnsi" w:hAnsiTheme="minorHAnsi" w:cstheme="minorHAnsi"/>
              </w:rPr>
              <w:t xml:space="preserve"> W przypadku udostępnienia schematu podatkowego standaryzowanego w trakcie kwartału, promotor lub wspomagający przekazuje do Szefa KAS informację zawierającą dane identyfikujące </w:t>
            </w:r>
            <w:r>
              <w:rPr>
                <w:rFonts w:asciiTheme="minorHAnsi" w:hAnsiTheme="minorHAnsi" w:cstheme="minorHAnsi"/>
              </w:rPr>
              <w:t>k</w:t>
            </w:r>
            <w:r w:rsidRPr="00221E98">
              <w:rPr>
                <w:rFonts w:asciiTheme="minorHAnsi" w:hAnsiTheme="minorHAnsi" w:cstheme="minorHAnsi"/>
              </w:rPr>
              <w:t xml:space="preserve">orzystającego, wskazując NSP. </w:t>
            </w:r>
            <w:r w:rsidRPr="00221E98">
              <w:rPr>
                <w:rFonts w:asciiTheme="minorHAnsi" w:hAnsiTheme="minorHAnsi" w:cstheme="minorHAnsi"/>
              </w:rPr>
              <w:br/>
              <w:t xml:space="preserve">W przypadku, gdy </w:t>
            </w:r>
            <w:r>
              <w:rPr>
                <w:rFonts w:asciiTheme="minorHAnsi" w:hAnsiTheme="minorHAnsi" w:cstheme="minorHAnsi"/>
              </w:rPr>
              <w:t>k</w:t>
            </w:r>
            <w:r w:rsidRPr="00221E98">
              <w:rPr>
                <w:rFonts w:asciiTheme="minorHAnsi" w:hAnsiTheme="minorHAnsi" w:cstheme="minorHAnsi"/>
              </w:rPr>
              <w:t>orzystający nie zwolnił promotora/ wspomagającego z obowiązku zachowania tajemnicy zawodowej w tym zakresie, informacja nie zawiera danych korzystającego i podmiotu uczestniczącego.</w:t>
            </w:r>
            <w:r w:rsidRPr="00221E98">
              <w:rPr>
                <w:rFonts w:asciiTheme="minorHAnsi" w:hAnsiTheme="minorHAnsi" w:cstheme="minorHAnsi"/>
              </w:rPr>
              <w:br/>
              <w:t>Informacja należy przekazać w terminie 30 dni po zakończeniu kwartału.</w:t>
            </w:r>
          </w:p>
        </w:tc>
      </w:tr>
    </w:tbl>
    <w:p w14:paraId="1DB6D15D" w14:textId="77777777" w:rsidR="00825BB8" w:rsidRPr="00221E98" w:rsidRDefault="00825BB8" w:rsidP="00825BB8">
      <w:pPr>
        <w:spacing w:after="0"/>
        <w:rPr>
          <w:rFonts w:cstheme="minorHAnsi"/>
          <w:sz w:val="18"/>
          <w:szCs w:val="18"/>
        </w:rPr>
      </w:pPr>
    </w:p>
    <w:p w14:paraId="098A99DB" w14:textId="72984F51" w:rsidR="006A2A46" w:rsidRPr="00EB173F" w:rsidRDefault="00825BB8" w:rsidP="00EB173F">
      <w:pPr>
        <w:pStyle w:val="Nagwek2"/>
        <w:rPr>
          <w:rFonts w:asciiTheme="minorHAnsi" w:eastAsia="Times New Roman" w:hAnsiTheme="minorHAnsi" w:cstheme="minorHAnsi"/>
          <w:color w:val="auto"/>
          <w:sz w:val="24"/>
          <w:szCs w:val="24"/>
        </w:rPr>
      </w:pPr>
      <w:r w:rsidRPr="00EB173F">
        <w:rPr>
          <w:rFonts w:asciiTheme="minorHAnsi" w:eastAsia="Times New Roman" w:hAnsiTheme="minorHAnsi" w:cstheme="minorHAnsi"/>
          <w:color w:val="auto"/>
          <w:sz w:val="24"/>
          <w:szCs w:val="24"/>
        </w:rPr>
        <w:br w:type="column"/>
      </w:r>
      <w:bookmarkStart w:id="28" w:name="_Toc65505174"/>
      <w:r w:rsidR="006A2A46" w:rsidRPr="00EB173F">
        <w:rPr>
          <w:rFonts w:asciiTheme="minorHAnsi" w:eastAsia="Times New Roman" w:hAnsiTheme="minorHAnsi" w:cstheme="minorHAnsi"/>
          <w:color w:val="auto"/>
          <w:sz w:val="24"/>
          <w:szCs w:val="24"/>
        </w:rPr>
        <w:lastRenderedPageBreak/>
        <w:t xml:space="preserve">Załącznik </w:t>
      </w:r>
      <w:r w:rsidR="00EB173F">
        <w:rPr>
          <w:rFonts w:asciiTheme="minorHAnsi" w:eastAsia="Times New Roman" w:hAnsiTheme="minorHAnsi" w:cstheme="minorHAnsi"/>
          <w:color w:val="auto"/>
          <w:sz w:val="24"/>
          <w:szCs w:val="24"/>
        </w:rPr>
        <w:t xml:space="preserve">nr </w:t>
      </w:r>
      <w:r w:rsidR="006A2A46" w:rsidRPr="00EB173F">
        <w:rPr>
          <w:rFonts w:asciiTheme="minorHAnsi" w:eastAsia="Times New Roman" w:hAnsiTheme="minorHAnsi" w:cstheme="minorHAnsi"/>
          <w:color w:val="auto"/>
          <w:sz w:val="24"/>
          <w:szCs w:val="24"/>
        </w:rPr>
        <w:t xml:space="preserve">3: Zakres informacji uzyskiwany </w:t>
      </w:r>
      <w:bookmarkEnd w:id="27"/>
      <w:r w:rsidR="006A2A46" w:rsidRPr="00EB173F">
        <w:rPr>
          <w:rFonts w:asciiTheme="minorHAnsi" w:eastAsia="Times New Roman" w:hAnsiTheme="minorHAnsi" w:cstheme="minorHAnsi"/>
          <w:color w:val="auto"/>
          <w:sz w:val="24"/>
          <w:szCs w:val="24"/>
        </w:rPr>
        <w:t>przez Koordynatora MDR</w:t>
      </w:r>
      <w:bookmarkEnd w:id="28"/>
    </w:p>
    <w:p w14:paraId="253D2919" w14:textId="77777777" w:rsidR="006A2A46" w:rsidRPr="006A2A46" w:rsidRDefault="006A2A46" w:rsidP="006A2A46">
      <w:pPr>
        <w:spacing w:after="0" w:line="276" w:lineRule="auto"/>
        <w:rPr>
          <w:rFonts w:ascii="Calibri" w:eastAsia="Times New Roman" w:hAnsi="Calibri" w:cs="Calibri"/>
        </w:rPr>
      </w:pPr>
    </w:p>
    <w:p w14:paraId="365E62F3" w14:textId="041F2476" w:rsidR="006A2A46" w:rsidRPr="006A2A46" w:rsidRDefault="006A2A46" w:rsidP="006A2A46">
      <w:pPr>
        <w:spacing w:after="0" w:line="276" w:lineRule="auto"/>
        <w:jc w:val="both"/>
        <w:rPr>
          <w:rFonts w:ascii="Calibri" w:eastAsia="Times New Roman" w:hAnsi="Calibri" w:cs="Calibri"/>
          <w:lang w:eastAsia="pl-PL"/>
        </w:rPr>
      </w:pPr>
      <w:r w:rsidRPr="006A2A46">
        <w:rPr>
          <w:rFonts w:ascii="Calibri" w:eastAsia="Times New Roman" w:hAnsi="Calibri" w:cs="Calibri"/>
          <w:lang w:eastAsia="pl-PL"/>
        </w:rPr>
        <w:t xml:space="preserve">W celu przygotowania przez </w:t>
      </w:r>
      <w:r w:rsidR="004D3BF7">
        <w:rPr>
          <w:rFonts w:ascii="Calibri" w:eastAsia="Times New Roman" w:hAnsi="Calibri" w:cs="Calibri"/>
          <w:lang w:eastAsia="pl-PL"/>
        </w:rPr>
        <w:t>Gminę</w:t>
      </w:r>
      <w:r w:rsidRPr="006A2A46">
        <w:rPr>
          <w:rFonts w:ascii="Calibri" w:eastAsia="Times New Roman" w:hAnsi="Calibri" w:cs="Calibri"/>
          <w:lang w:eastAsia="pl-PL"/>
        </w:rPr>
        <w:t xml:space="preserve"> kompletnej Informacji o Schemacie Podatkowym, celem przesłania jej do Szefa KAS, Pracownicy prześlą do Koordynatora MDR, następujące informacje o </w:t>
      </w:r>
      <w:r w:rsidRPr="006A2A46">
        <w:rPr>
          <w:rFonts w:ascii="Calibri" w:eastAsia="Times New Roman" w:hAnsi="Calibri" w:cs="Calibri"/>
          <w:u w:val="single"/>
          <w:lang w:eastAsia="pl-PL"/>
        </w:rPr>
        <w:t>okolicznościach formalnych i faktycznych związanych z daną sytuacją</w:t>
      </w:r>
      <w:r w:rsidRPr="006A2A46">
        <w:rPr>
          <w:rFonts w:ascii="Calibri" w:eastAsia="Times New Roman" w:hAnsi="Calibri" w:cs="Calibri"/>
          <w:lang w:eastAsia="pl-PL"/>
        </w:rPr>
        <w:t>:</w:t>
      </w:r>
    </w:p>
    <w:p w14:paraId="5E06C6F6"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 xml:space="preserve">opis w szczególności umów/zdarzeń/inwestycji/rozliczeń podatkowych - według dostępnej wiedzy, wraz ze wskazaniem wartości przedmiotów tych czynności, czynności dokonywanych i ich chronologii oraz występujących powiązań pomiędzy podmiotami powiązanymi (o ile taka sytuacja ma miejsce); </w:t>
      </w:r>
    </w:p>
    <w:p w14:paraId="450BBE88"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wskazanie znanych celów, których realizacja umów/zdarzeń/inwestycji/rozliczeń podatkowych ma służyć;</w:t>
      </w:r>
    </w:p>
    <w:p w14:paraId="6E994836"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 xml:space="preserve">wskazanie dokonanych czynności, które skutkowały przekazaniem przez </w:t>
      </w:r>
      <w:r w:rsidR="004D3BF7">
        <w:rPr>
          <w:rFonts w:ascii="Calibri" w:eastAsia="Times New Roman" w:hAnsi="Calibri" w:cs="Calibri"/>
          <w:lang w:eastAsia="pl-PL"/>
        </w:rPr>
        <w:t>Gminę</w:t>
      </w:r>
      <w:r w:rsidRPr="006A2A46">
        <w:rPr>
          <w:rFonts w:ascii="Calibri" w:eastAsia="Times New Roman" w:hAnsi="Calibri" w:cs="Calibri"/>
          <w:lang w:eastAsia="pl-PL"/>
        </w:rPr>
        <w:t xml:space="preserve"> informacji, wraz ze wskazaniem dnia, w którym została lub zostanie dokonana pierwsza czynność; </w:t>
      </w:r>
    </w:p>
    <w:p w14:paraId="09743389"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wskazanie etapu, na jakim zgodnie z dostępną wiedzą znajduje się w szczególności umowa/zdarzenie/inwestycja/rozliczenie podatkowe,</w:t>
      </w:r>
    </w:p>
    <w:p w14:paraId="49E9C23F"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 xml:space="preserve">informacji o terminach udostępniania lub wdrażania; </w:t>
      </w:r>
    </w:p>
    <w:p w14:paraId="27CDBC8F" w14:textId="77777777" w:rsidR="006A2A46" w:rsidRPr="006A2A46" w:rsidRDefault="006A2A46" w:rsidP="006A2A46">
      <w:pPr>
        <w:numPr>
          <w:ilvl w:val="0"/>
          <w:numId w:val="16"/>
        </w:numPr>
        <w:spacing w:after="200" w:line="276" w:lineRule="auto"/>
        <w:contextualSpacing/>
        <w:jc w:val="both"/>
        <w:rPr>
          <w:rFonts w:ascii="Calibri" w:eastAsia="Times New Roman" w:hAnsi="Calibri" w:cs="Calibri"/>
          <w:lang w:eastAsia="pl-PL"/>
        </w:rPr>
      </w:pPr>
      <w:r w:rsidRPr="006A2A46">
        <w:rPr>
          <w:rFonts w:ascii="Calibri" w:eastAsia="Times New Roman" w:hAnsi="Calibri" w:cs="Calibri"/>
          <w:lang w:eastAsia="pl-PL"/>
        </w:rPr>
        <w:t>wskazanie znanych danych identyfikujących Kontrahenta lub innego Podmiotu uczestniczącego, których sytuacja może dotyczyć.</w:t>
      </w:r>
    </w:p>
    <w:p w14:paraId="1AC79357" w14:textId="77777777" w:rsidR="006A2A46" w:rsidRPr="006A2A46" w:rsidRDefault="006A2A46" w:rsidP="006A2A46">
      <w:pPr>
        <w:spacing w:after="0" w:line="276" w:lineRule="auto"/>
        <w:rPr>
          <w:rFonts w:ascii="Calibri" w:eastAsia="Times New Roman" w:hAnsi="Calibri" w:cs="Calibri"/>
          <w:lang w:eastAsia="pl-PL"/>
        </w:rPr>
      </w:pPr>
    </w:p>
    <w:p w14:paraId="756C3ED4" w14:textId="77777777" w:rsidR="004F4D81" w:rsidRDefault="004F4D81">
      <w:pPr>
        <w:rPr>
          <w:rFonts w:ascii="Calibri" w:eastAsia="Times New Roman" w:hAnsi="Calibri" w:cs="Calibri"/>
          <w:sz w:val="18"/>
          <w:szCs w:val="18"/>
          <w:lang w:eastAsia="pl-PL"/>
        </w:rPr>
      </w:pPr>
      <w:r>
        <w:rPr>
          <w:rFonts w:ascii="Calibri" w:eastAsia="Times New Roman" w:hAnsi="Calibri" w:cs="Calibri"/>
          <w:sz w:val="18"/>
          <w:szCs w:val="18"/>
          <w:lang w:eastAsia="pl-PL"/>
        </w:rPr>
        <w:br w:type="page"/>
      </w:r>
    </w:p>
    <w:p w14:paraId="54B33D21" w14:textId="77777777" w:rsidR="006A2A46" w:rsidRPr="00EB173F" w:rsidRDefault="006A2A46" w:rsidP="00EB173F">
      <w:pPr>
        <w:pStyle w:val="Nagwek2"/>
        <w:rPr>
          <w:rFonts w:asciiTheme="minorHAnsi" w:eastAsia="Times New Roman" w:hAnsiTheme="minorHAnsi" w:cstheme="minorHAnsi"/>
          <w:color w:val="auto"/>
          <w:sz w:val="24"/>
          <w:szCs w:val="24"/>
        </w:rPr>
      </w:pPr>
      <w:bookmarkStart w:id="29" w:name="_Toc22912875"/>
      <w:bookmarkStart w:id="30" w:name="_Toc65505175"/>
      <w:r w:rsidRPr="00EB173F">
        <w:rPr>
          <w:rFonts w:asciiTheme="minorHAnsi" w:eastAsia="Times New Roman" w:hAnsiTheme="minorHAnsi" w:cstheme="minorHAnsi"/>
          <w:color w:val="auto"/>
          <w:sz w:val="24"/>
          <w:szCs w:val="24"/>
        </w:rPr>
        <w:lastRenderedPageBreak/>
        <w:t>Załącznik nr 4: Czynności niepodlegające raportowaniu</w:t>
      </w:r>
      <w:bookmarkEnd w:id="29"/>
      <w:bookmarkEnd w:id="30"/>
    </w:p>
    <w:p w14:paraId="7B3D0D67" w14:textId="77777777" w:rsidR="006A2A46" w:rsidRPr="006A2A46" w:rsidRDefault="006A2A46" w:rsidP="006A2A46">
      <w:pPr>
        <w:spacing w:after="200" w:line="276" w:lineRule="auto"/>
        <w:rPr>
          <w:rFonts w:ascii="Calibri" w:eastAsia="Times New Roman" w:hAnsi="Calibri" w:cs="Times New Roman"/>
          <w:lang w:eastAsia="pl-PL"/>
        </w:rPr>
      </w:pPr>
      <w:r w:rsidRPr="006A2A46">
        <w:rPr>
          <w:rFonts w:ascii="Calibri" w:eastAsia="Times New Roman" w:hAnsi="Calibri" w:cs="Calibri"/>
          <w:lang w:eastAsia="pl-PL"/>
        </w:rPr>
        <w:fldChar w:fldCharType="begin"/>
      </w:r>
      <w:r w:rsidRPr="006A2A46">
        <w:rPr>
          <w:rFonts w:ascii="Calibri" w:eastAsia="Times New Roman" w:hAnsi="Calibri" w:cs="Calibri"/>
          <w:lang w:eastAsia="pl-PL"/>
        </w:rPr>
        <w:instrText xml:space="preserve"> LINK Excel.Sheet.12 C:\\Users\\marta.barczuk\\Desktop\\Book1.xlsx Sheet1!R2C2:R10C4 \a \f 4 \h  \* MERGEFORMAT </w:instrText>
      </w:r>
      <w:r w:rsidRPr="006A2A46">
        <w:rPr>
          <w:rFonts w:ascii="Calibri" w:eastAsia="Times New Roman" w:hAnsi="Calibri" w:cs="Calibri"/>
          <w:lang w:eastAsia="pl-PL"/>
        </w:rPr>
        <w:fldChar w:fldCharType="separate"/>
      </w:r>
    </w:p>
    <w:tbl>
      <w:tblPr>
        <w:tblW w:w="1044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740"/>
        <w:gridCol w:w="4440"/>
        <w:gridCol w:w="5260"/>
      </w:tblGrid>
      <w:tr w:rsidR="006A2A46" w:rsidRPr="006A2A46" w14:paraId="31D4F79E" w14:textId="77777777" w:rsidTr="004F4D81">
        <w:trPr>
          <w:trHeight w:val="680"/>
        </w:trPr>
        <w:tc>
          <w:tcPr>
            <w:tcW w:w="10440"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70381044" w14:textId="77777777" w:rsidR="006A2A46" w:rsidRPr="006A2A46" w:rsidRDefault="006A2A46" w:rsidP="006A2A46">
            <w:pPr>
              <w:spacing w:after="0" w:line="240" w:lineRule="auto"/>
              <w:jc w:val="center"/>
              <w:rPr>
                <w:rFonts w:ascii="Calibri" w:eastAsia="Times New Roman" w:hAnsi="Calibri" w:cs="Calibri"/>
                <w:b/>
                <w:bCs/>
                <w:color w:val="000000"/>
                <w:sz w:val="20"/>
                <w:szCs w:val="18"/>
                <w:lang w:eastAsia="pl-PL"/>
              </w:rPr>
            </w:pPr>
            <w:r w:rsidRPr="006A2A46">
              <w:rPr>
                <w:rFonts w:ascii="Calibri" w:eastAsia="Times New Roman" w:hAnsi="Calibri" w:cs="Calibri"/>
                <w:b/>
                <w:bCs/>
                <w:color w:val="000000"/>
                <w:sz w:val="20"/>
                <w:szCs w:val="18"/>
                <w:lang w:eastAsia="pl-PL"/>
              </w:rPr>
              <w:t>Wykaz zdarzeń potencjalnie niepodlegających raportowaniu MDR</w:t>
            </w:r>
          </w:p>
        </w:tc>
      </w:tr>
      <w:tr w:rsidR="006A2A46" w:rsidRPr="006A2A46" w14:paraId="20FB628E" w14:textId="77777777" w:rsidTr="004F4D81">
        <w:trPr>
          <w:trHeight w:val="300"/>
        </w:trPr>
        <w:tc>
          <w:tcPr>
            <w:tcW w:w="74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522C2610"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l.p.</w:t>
            </w:r>
          </w:p>
        </w:tc>
        <w:tc>
          <w:tcPr>
            <w:tcW w:w="444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02BD2076" w14:textId="77777777" w:rsidR="006A2A46" w:rsidRPr="006A2A46" w:rsidRDefault="006A2A46" w:rsidP="006A2A46">
            <w:pPr>
              <w:spacing w:after="0" w:line="240" w:lineRule="auto"/>
              <w:jc w:val="center"/>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Opis zdarzenia</w:t>
            </w:r>
          </w:p>
        </w:tc>
        <w:tc>
          <w:tcPr>
            <w:tcW w:w="526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hideMark/>
          </w:tcPr>
          <w:p w14:paraId="2C9310E1" w14:textId="77777777" w:rsidR="006A2A46" w:rsidRPr="006A2A46" w:rsidRDefault="00CE49A0" w:rsidP="006A2A46">
            <w:pPr>
              <w:spacing w:after="0" w:line="240" w:lineRule="auto"/>
              <w:jc w:val="center"/>
              <w:rPr>
                <w:rFonts w:ascii="Calibri" w:eastAsia="Times New Roman" w:hAnsi="Calibri" w:cs="Calibri"/>
                <w:sz w:val="20"/>
                <w:szCs w:val="18"/>
                <w:lang w:eastAsia="pl-PL"/>
              </w:rPr>
            </w:pPr>
            <w:r>
              <w:rPr>
                <w:rFonts w:ascii="Calibri" w:eastAsia="Times New Roman" w:hAnsi="Calibri" w:cs="Calibri"/>
                <w:sz w:val="20"/>
                <w:szCs w:val="18"/>
                <w:lang w:eastAsia="pl-PL"/>
              </w:rPr>
              <w:t>Wyjaśnienie</w:t>
            </w:r>
          </w:p>
        </w:tc>
      </w:tr>
      <w:tr w:rsidR="006A2A46" w:rsidRPr="006A2A46" w14:paraId="5900A292"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00B1C2"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1</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046F4"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Wydatki mieszane Urzędu obsługującego JST lub Jednostek</w:t>
            </w:r>
            <w:r w:rsidRPr="006A2A46">
              <w:rPr>
                <w:rFonts w:ascii="Calibri" w:eastAsia="Times New Roman" w:hAnsi="Calibri" w:cs="Calibri"/>
                <w:sz w:val="20"/>
                <w:szCs w:val="18"/>
                <w:lang w:eastAsia="pl-PL"/>
              </w:rPr>
              <w:t xml:space="preserve"> – Odliczenia VAT od tzw. wydatków mieszanych przy pomocy iloczynu tzw. </w:t>
            </w:r>
            <w:proofErr w:type="spellStart"/>
            <w:r w:rsidRPr="006A2A46">
              <w:rPr>
                <w:rFonts w:ascii="Calibri" w:eastAsia="Times New Roman" w:hAnsi="Calibri" w:cs="Calibri"/>
                <w:sz w:val="20"/>
                <w:szCs w:val="18"/>
                <w:lang w:eastAsia="pl-PL"/>
              </w:rPr>
              <w:t>pre</w:t>
            </w:r>
            <w:proofErr w:type="spellEnd"/>
            <w:r w:rsidRPr="006A2A46">
              <w:rPr>
                <w:rFonts w:ascii="Calibri" w:eastAsia="Times New Roman" w:hAnsi="Calibri" w:cs="Calibri"/>
                <w:sz w:val="20"/>
                <w:szCs w:val="18"/>
                <w:lang w:eastAsia="pl-PL"/>
              </w:rPr>
              <w:t>-współczynnika VAT i współczynnika VAT (w związku z wykorzystywaniem tych wydatków do tzw. działalności mieszanej).</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ED290"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5F700D44"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869A717"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2</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BCDFC"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 xml:space="preserve">Materiały promocyjne </w:t>
            </w:r>
            <w:r w:rsidRPr="006A2A46">
              <w:rPr>
                <w:rFonts w:ascii="Calibri" w:eastAsia="Times New Roman" w:hAnsi="Calibri" w:cs="Calibri"/>
                <w:sz w:val="20"/>
                <w:szCs w:val="18"/>
                <w:lang w:eastAsia="pl-PL"/>
              </w:rPr>
              <w:t xml:space="preserve">– odliczanie VAT w całości od sprzedanych materiałów promocyjnych w postaci kubków, koszulek itd. (z wyłączeniem materiałów promocyjnych niepodlegających sprzedaży). </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A11F8"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58EBF72D"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9D00E"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3</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F8792"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 xml:space="preserve">Przygotowanie nieruchomości do sprzedaży </w:t>
            </w:r>
            <w:r w:rsidRPr="006A2A46">
              <w:rPr>
                <w:rFonts w:ascii="Calibri" w:eastAsia="Times New Roman" w:hAnsi="Calibri" w:cs="Calibri"/>
                <w:sz w:val="20"/>
                <w:szCs w:val="18"/>
                <w:lang w:eastAsia="pl-PL"/>
              </w:rPr>
              <w:t>– odliczanie VAT w pełnej wysokości z tytułu przygotowania nieruchomości do sprzedaży opodatkowanej VAT.</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B0C7C0"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4441CAD6"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765ECC"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4</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FB611"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Refaktura mediów</w:t>
            </w:r>
            <w:r w:rsidRPr="006A2A46">
              <w:rPr>
                <w:rFonts w:ascii="Calibri" w:eastAsia="Times New Roman" w:hAnsi="Calibri" w:cs="Calibri"/>
                <w:sz w:val="20"/>
                <w:szCs w:val="18"/>
                <w:lang w:eastAsia="pl-PL"/>
              </w:rPr>
              <w:t xml:space="preserve"> – odliczanie VAT w pełnej wysokości z tytułu refaktury mediów (w związku z najmem / dzierżawą lokali, obiektów sportowych, etc.)</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986AB0"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0534C656"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F58F9"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5</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50B26"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 xml:space="preserve">Wydatki na utrzymanie cmentarza komunalnego </w:t>
            </w:r>
            <w:r w:rsidRPr="006A2A46">
              <w:rPr>
                <w:rFonts w:ascii="Calibri" w:eastAsia="Times New Roman" w:hAnsi="Calibri" w:cs="Calibri"/>
                <w:sz w:val="20"/>
                <w:szCs w:val="18"/>
                <w:lang w:eastAsia="pl-PL"/>
              </w:rPr>
              <w:t>–</w:t>
            </w:r>
            <w:r w:rsidRPr="006A2A46">
              <w:rPr>
                <w:rFonts w:ascii="Calibri" w:eastAsia="Times New Roman" w:hAnsi="Calibri" w:cs="Calibri"/>
                <w:b/>
                <w:bCs/>
                <w:sz w:val="20"/>
                <w:szCs w:val="18"/>
                <w:lang w:eastAsia="pl-PL"/>
              </w:rPr>
              <w:t xml:space="preserve"> </w:t>
            </w:r>
            <w:r w:rsidRPr="006A2A46">
              <w:rPr>
                <w:rFonts w:ascii="Calibri" w:eastAsia="Times New Roman" w:hAnsi="Calibri" w:cs="Calibri"/>
                <w:sz w:val="20"/>
                <w:szCs w:val="18"/>
                <w:lang w:eastAsia="pl-PL"/>
              </w:rPr>
              <w:t>odliczanie VAT w pełnej wysokości (w sytuacji wykorzystywania cmentarza wyłącznie do działalności opodatkowanej)</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573E"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53F131F0"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9786E"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lastRenderedPageBreak/>
              <w:t>6</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DEDBB"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b/>
                <w:bCs/>
                <w:sz w:val="20"/>
                <w:szCs w:val="18"/>
                <w:lang w:eastAsia="pl-PL"/>
              </w:rPr>
              <w:t>Wydatki związane z funkcjonowaniem basenu</w:t>
            </w:r>
            <w:r w:rsidRPr="006A2A46">
              <w:rPr>
                <w:rFonts w:ascii="Calibri" w:eastAsia="Times New Roman" w:hAnsi="Calibri" w:cs="Calibri"/>
                <w:sz w:val="20"/>
                <w:szCs w:val="18"/>
                <w:lang w:eastAsia="pl-PL"/>
              </w:rPr>
              <w:t xml:space="preserve"> – odliczanie VAT przy pomocy </w:t>
            </w:r>
            <w:proofErr w:type="spellStart"/>
            <w:r w:rsidRPr="006A2A46">
              <w:rPr>
                <w:rFonts w:ascii="Calibri" w:eastAsia="Times New Roman" w:hAnsi="Calibri" w:cs="Calibri"/>
                <w:sz w:val="20"/>
                <w:szCs w:val="18"/>
                <w:lang w:eastAsia="pl-PL"/>
              </w:rPr>
              <w:t>pre</w:t>
            </w:r>
            <w:proofErr w:type="spellEnd"/>
            <w:r w:rsidRPr="006A2A46">
              <w:rPr>
                <w:rFonts w:ascii="Calibri" w:eastAsia="Times New Roman" w:hAnsi="Calibri" w:cs="Calibri"/>
                <w:sz w:val="20"/>
                <w:szCs w:val="18"/>
                <w:lang w:eastAsia="pl-PL"/>
              </w:rPr>
              <w:t>-współczynnika VAT od wydatków ponoszonych na zakup środków chemicznych dot. tylko basenu, zakup chloru na basen, badania laboratoryjne wody w basenie, remonty i naprawy części basenowej, remonty i naprawy obiektów sportowych (w sytuacji wykorzystywania basenu do działalności opodatkowanej VAT oraz niepodlegającej opodatkowaniu VAT)</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15C345"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r w:rsidR="006A2A46" w:rsidRPr="006A2A46" w14:paraId="59C2111C" w14:textId="77777777" w:rsidTr="004F4D81">
        <w:trPr>
          <w:trHeight w:val="2340"/>
        </w:trPr>
        <w:tc>
          <w:tcPr>
            <w:tcW w:w="7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15B866" w14:textId="77777777" w:rsidR="006A2A46" w:rsidRPr="006A2A46" w:rsidRDefault="006A2A46" w:rsidP="006A2A46">
            <w:pPr>
              <w:spacing w:after="0" w:line="240" w:lineRule="auto"/>
              <w:jc w:val="center"/>
              <w:rPr>
                <w:rFonts w:ascii="Calibri" w:eastAsia="Times New Roman" w:hAnsi="Calibri" w:cs="Calibri"/>
                <w:color w:val="000000"/>
                <w:sz w:val="20"/>
                <w:szCs w:val="18"/>
                <w:lang w:eastAsia="pl-PL"/>
              </w:rPr>
            </w:pPr>
            <w:r w:rsidRPr="006A2A46">
              <w:rPr>
                <w:rFonts w:ascii="Calibri" w:eastAsia="Times New Roman" w:hAnsi="Calibri" w:cs="Calibri"/>
                <w:color w:val="000000"/>
                <w:sz w:val="20"/>
                <w:szCs w:val="18"/>
                <w:lang w:eastAsia="pl-PL"/>
              </w:rPr>
              <w:t>7</w:t>
            </w:r>
          </w:p>
        </w:tc>
        <w:tc>
          <w:tcPr>
            <w:tcW w:w="4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016B1" w14:textId="77777777" w:rsidR="006A2A46" w:rsidRPr="006A2A46" w:rsidRDefault="006A2A46" w:rsidP="006A2A46">
            <w:pPr>
              <w:spacing w:after="0" w:line="240" w:lineRule="auto"/>
              <w:rPr>
                <w:rFonts w:ascii="Calibri" w:eastAsia="Times New Roman" w:hAnsi="Calibri" w:cs="Calibri"/>
                <w:b/>
                <w:bCs/>
                <w:sz w:val="20"/>
                <w:szCs w:val="18"/>
                <w:lang w:eastAsia="pl-PL"/>
              </w:rPr>
            </w:pPr>
            <w:r w:rsidRPr="006A2A46">
              <w:rPr>
                <w:rFonts w:ascii="Calibri" w:eastAsia="Times New Roman" w:hAnsi="Calibri" w:cs="Calibri"/>
                <w:b/>
                <w:bCs/>
                <w:sz w:val="20"/>
                <w:szCs w:val="18"/>
                <w:lang w:eastAsia="pl-PL"/>
              </w:rPr>
              <w:t xml:space="preserve">Wydatki ponoszone na wynajmowane / dzierżawione obiekty (wykorzystywane w pełni do działalności opodatkowanej VAT) </w:t>
            </w:r>
            <w:r w:rsidRPr="006A2A46">
              <w:rPr>
                <w:rFonts w:ascii="Calibri" w:eastAsia="Times New Roman" w:hAnsi="Calibri" w:cs="Calibri"/>
                <w:bCs/>
                <w:sz w:val="20"/>
                <w:szCs w:val="18"/>
                <w:lang w:eastAsia="pl-PL"/>
              </w:rPr>
              <w:t xml:space="preserve">- w szczególności lokale użytkowe czy wybrane obiekty sportowe  </w:t>
            </w:r>
            <w:r w:rsidRPr="006A2A46">
              <w:rPr>
                <w:rFonts w:ascii="Calibri" w:eastAsia="Times New Roman" w:hAnsi="Calibri" w:cs="Calibri"/>
                <w:b/>
                <w:bCs/>
                <w:sz w:val="20"/>
                <w:szCs w:val="18"/>
                <w:lang w:eastAsia="pl-PL"/>
              </w:rPr>
              <w:t xml:space="preserve"> </w:t>
            </w:r>
            <w:r w:rsidRPr="006A2A46">
              <w:rPr>
                <w:rFonts w:ascii="Calibri" w:eastAsia="Times New Roman" w:hAnsi="Calibri" w:cs="Calibri"/>
                <w:sz w:val="20"/>
                <w:szCs w:val="18"/>
                <w:lang w:eastAsia="pl-PL"/>
              </w:rPr>
              <w:t>–</w:t>
            </w:r>
            <w:r w:rsidRPr="006A2A46">
              <w:rPr>
                <w:rFonts w:ascii="Calibri" w:eastAsia="Times New Roman" w:hAnsi="Calibri" w:cs="Calibri"/>
                <w:b/>
                <w:bCs/>
                <w:sz w:val="20"/>
                <w:szCs w:val="18"/>
                <w:lang w:eastAsia="pl-PL"/>
              </w:rPr>
              <w:t xml:space="preserve"> </w:t>
            </w:r>
            <w:r w:rsidRPr="006A2A46">
              <w:rPr>
                <w:rFonts w:ascii="Calibri" w:eastAsia="Times New Roman" w:hAnsi="Calibri" w:cs="Calibri"/>
                <w:sz w:val="20"/>
                <w:szCs w:val="18"/>
                <w:lang w:eastAsia="pl-PL"/>
              </w:rPr>
              <w:t>odliczanie VAT w pełnej wysokości</w:t>
            </w:r>
          </w:p>
        </w:tc>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364E2" w14:textId="77777777" w:rsidR="006A2A46" w:rsidRPr="006A2A46" w:rsidRDefault="006A2A46" w:rsidP="006A2A46">
            <w:pPr>
              <w:spacing w:after="0" w:line="240" w:lineRule="auto"/>
              <w:rPr>
                <w:rFonts w:ascii="Calibri" w:eastAsia="Times New Roman" w:hAnsi="Calibri" w:cs="Calibri"/>
                <w:sz w:val="20"/>
                <w:szCs w:val="18"/>
                <w:lang w:eastAsia="pl-PL"/>
              </w:rPr>
            </w:pPr>
            <w:r w:rsidRPr="006A2A46">
              <w:rPr>
                <w:rFonts w:ascii="Calibri" w:eastAsia="Times New Roman" w:hAnsi="Calibri" w:cs="Calibri"/>
                <w:sz w:val="20"/>
                <w:szCs w:val="18"/>
                <w:lang w:eastAsia="pl-PL"/>
              </w:rPr>
              <w:t>Brak konieczności raportowania dla celów MDR, gdyż przedmiotowe odliczenia mają charakter bieżący, standardowy oraz są praktykowane od dawna. Powyższy wniosek znajduje naszym zdaniem uzasadnienie w treści pkt 3.1.3. (od str. 32) objaśnień podatkowych z dnia 31 stycznia 2019 r. dot. informacji o schematach podatkowych (MDR) opublikowanych przez Ministerstwo Finansów.</w:t>
            </w:r>
          </w:p>
        </w:tc>
      </w:tr>
    </w:tbl>
    <w:p w14:paraId="0517454E" w14:textId="77777777" w:rsidR="006A2A46" w:rsidRPr="006A2A46" w:rsidRDefault="006A2A46" w:rsidP="006A2A46">
      <w:pPr>
        <w:spacing w:after="0" w:line="276" w:lineRule="auto"/>
        <w:rPr>
          <w:rFonts w:ascii="Calibri" w:eastAsia="Times New Roman" w:hAnsi="Calibri" w:cs="Calibri"/>
          <w:sz w:val="18"/>
          <w:szCs w:val="18"/>
          <w:lang w:eastAsia="pl-PL"/>
        </w:rPr>
      </w:pPr>
      <w:r w:rsidRPr="006A2A46">
        <w:rPr>
          <w:rFonts w:ascii="Calibri" w:eastAsia="Times New Roman" w:hAnsi="Calibri" w:cs="Calibri"/>
          <w:sz w:val="18"/>
          <w:szCs w:val="18"/>
          <w:lang w:eastAsia="pl-PL"/>
        </w:rPr>
        <w:fldChar w:fldCharType="end"/>
      </w:r>
    </w:p>
    <w:p w14:paraId="68CA648D" w14:textId="77777777" w:rsidR="006A2A46" w:rsidRPr="006A2A46" w:rsidRDefault="004F4D81" w:rsidP="004F4D81">
      <w:pPr>
        <w:rPr>
          <w:rFonts w:ascii="Calibri" w:eastAsia="Times New Roman" w:hAnsi="Calibri" w:cs="Calibri"/>
          <w:sz w:val="18"/>
          <w:szCs w:val="18"/>
          <w:lang w:eastAsia="pl-PL"/>
        </w:rPr>
      </w:pPr>
      <w:r>
        <w:rPr>
          <w:rFonts w:ascii="Calibri" w:eastAsia="Times New Roman" w:hAnsi="Calibri" w:cs="Calibri"/>
          <w:sz w:val="18"/>
          <w:szCs w:val="18"/>
          <w:lang w:eastAsia="pl-PL"/>
        </w:rPr>
        <w:br w:type="page"/>
      </w:r>
    </w:p>
    <w:p w14:paraId="37805D4D" w14:textId="77777777" w:rsidR="006A2A46" w:rsidRPr="00EB173F" w:rsidRDefault="006A2A46" w:rsidP="00EB173F">
      <w:pPr>
        <w:pStyle w:val="Nagwek2"/>
        <w:rPr>
          <w:rFonts w:asciiTheme="minorHAnsi" w:eastAsia="Times New Roman" w:hAnsiTheme="minorHAnsi" w:cstheme="minorHAnsi"/>
          <w:color w:val="auto"/>
          <w:sz w:val="24"/>
          <w:szCs w:val="24"/>
        </w:rPr>
      </w:pPr>
      <w:bookmarkStart w:id="31" w:name="_Toc22912876"/>
      <w:bookmarkStart w:id="32" w:name="_Toc65505176"/>
      <w:r w:rsidRPr="00EB173F">
        <w:rPr>
          <w:rFonts w:asciiTheme="minorHAnsi" w:eastAsia="Times New Roman" w:hAnsiTheme="minorHAnsi" w:cstheme="minorHAnsi"/>
          <w:color w:val="auto"/>
          <w:sz w:val="24"/>
          <w:szCs w:val="24"/>
        </w:rPr>
        <w:lastRenderedPageBreak/>
        <w:t>Załącznik nr 5: Czynności potencjalnie podlegające raportowaniu</w:t>
      </w:r>
      <w:bookmarkEnd w:id="31"/>
      <w:bookmarkEnd w:id="32"/>
    </w:p>
    <w:p w14:paraId="528811E9" w14:textId="77777777" w:rsidR="006A2A46" w:rsidRPr="006A2A46" w:rsidRDefault="006A2A46" w:rsidP="006A2A46">
      <w:pPr>
        <w:spacing w:after="200" w:line="276" w:lineRule="auto"/>
        <w:rPr>
          <w:rFonts w:ascii="Calibri" w:eastAsia="Times New Roman" w:hAnsi="Calibri" w:cs="Times New Roman"/>
          <w:sz w:val="20"/>
          <w:szCs w:val="20"/>
          <w:lang w:eastAsia="pl-PL"/>
        </w:rPr>
      </w:pPr>
      <w:r w:rsidRPr="006A2A46">
        <w:rPr>
          <w:rFonts w:ascii="Calibri" w:eastAsia="Times New Roman" w:hAnsi="Calibri" w:cs="Times New Roman"/>
          <w:lang w:eastAsia="pl-PL"/>
        </w:rPr>
        <w:fldChar w:fldCharType="begin"/>
      </w:r>
      <w:r w:rsidRPr="006A2A46">
        <w:rPr>
          <w:rFonts w:ascii="Calibri" w:eastAsia="Times New Roman" w:hAnsi="Calibri" w:cs="Times New Roman"/>
          <w:lang w:eastAsia="pl-PL"/>
        </w:rPr>
        <w:instrText xml:space="preserve"> LINK Excel.Sheet.12 C:\\Users\\marta.barczuk\\Desktop\\Book1.xlsx Sheet1!R15C2:R28C4 \a \f 4 \h </w:instrText>
      </w:r>
      <w:r w:rsidR="00961E86">
        <w:rPr>
          <w:rFonts w:ascii="Calibri" w:eastAsia="Times New Roman" w:hAnsi="Calibri" w:cs="Times New Roman"/>
          <w:lang w:eastAsia="pl-PL"/>
        </w:rPr>
        <w:instrText xml:space="preserve"> \* MERGEFORMAT </w:instrText>
      </w:r>
      <w:r w:rsidRPr="006A2A46">
        <w:rPr>
          <w:rFonts w:ascii="Calibri" w:eastAsia="Times New Roman" w:hAnsi="Calibri" w:cs="Times New Roman"/>
          <w:lang w:eastAsia="pl-PL"/>
        </w:rPr>
        <w:fldChar w:fldCharType="separate"/>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4440"/>
        <w:gridCol w:w="5260"/>
      </w:tblGrid>
      <w:tr w:rsidR="006A2A46" w:rsidRPr="006A2A46" w14:paraId="0646CD71" w14:textId="77777777" w:rsidTr="00961E86">
        <w:trPr>
          <w:trHeight w:val="300"/>
        </w:trPr>
        <w:tc>
          <w:tcPr>
            <w:tcW w:w="10440" w:type="dxa"/>
            <w:gridSpan w:val="3"/>
            <w:shd w:val="clear" w:color="auto" w:fill="F4B083" w:themeFill="accent2" w:themeFillTint="99"/>
            <w:vAlign w:val="center"/>
            <w:hideMark/>
          </w:tcPr>
          <w:p w14:paraId="492407A9" w14:textId="77777777" w:rsidR="006A2A46" w:rsidRPr="006A2A46" w:rsidRDefault="006A2A46" w:rsidP="006A2A46">
            <w:pPr>
              <w:spacing w:after="0" w:line="240" w:lineRule="auto"/>
              <w:jc w:val="center"/>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Wykaz zdarzeń potencjalnie podlegających raportowaniu MDR</w:t>
            </w:r>
          </w:p>
        </w:tc>
      </w:tr>
      <w:tr w:rsidR="006A2A46" w:rsidRPr="006A2A46" w14:paraId="4D7EF11C" w14:textId="77777777" w:rsidTr="00961E86">
        <w:trPr>
          <w:trHeight w:val="300"/>
        </w:trPr>
        <w:tc>
          <w:tcPr>
            <w:tcW w:w="740" w:type="dxa"/>
            <w:shd w:val="clear" w:color="auto" w:fill="F4B083" w:themeFill="accent2" w:themeFillTint="99"/>
            <w:vAlign w:val="center"/>
            <w:hideMark/>
          </w:tcPr>
          <w:p w14:paraId="654422DE"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l.p.</w:t>
            </w:r>
          </w:p>
        </w:tc>
        <w:tc>
          <w:tcPr>
            <w:tcW w:w="4440" w:type="dxa"/>
            <w:shd w:val="clear" w:color="auto" w:fill="F4B083" w:themeFill="accent2" w:themeFillTint="99"/>
            <w:vAlign w:val="center"/>
            <w:hideMark/>
          </w:tcPr>
          <w:p w14:paraId="01FA8F0C"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Opis zdarzenia</w:t>
            </w:r>
          </w:p>
        </w:tc>
        <w:tc>
          <w:tcPr>
            <w:tcW w:w="5260" w:type="dxa"/>
            <w:shd w:val="clear" w:color="auto" w:fill="F4B083" w:themeFill="accent2" w:themeFillTint="99"/>
            <w:vAlign w:val="center"/>
            <w:hideMark/>
          </w:tcPr>
          <w:p w14:paraId="044E5E29" w14:textId="77777777" w:rsidR="006A2A46" w:rsidRPr="006A2A46" w:rsidRDefault="00CE49A0" w:rsidP="006A2A46">
            <w:pPr>
              <w:spacing w:after="0" w:line="240" w:lineRule="auto"/>
              <w:jc w:val="center"/>
              <w:rPr>
                <w:rFonts w:ascii="Calibri" w:eastAsia="Times New Roman" w:hAnsi="Calibri" w:cs="Calibri"/>
                <w:color w:val="000000"/>
                <w:sz w:val="20"/>
                <w:szCs w:val="20"/>
                <w:lang w:eastAsia="pl-PL"/>
              </w:rPr>
            </w:pPr>
            <w:r>
              <w:rPr>
                <w:rFonts w:ascii="Calibri" w:eastAsia="Times New Roman" w:hAnsi="Calibri" w:cs="Calibri"/>
                <w:color w:val="000000"/>
                <w:sz w:val="20"/>
                <w:szCs w:val="20"/>
                <w:lang w:eastAsia="pl-PL"/>
              </w:rPr>
              <w:t>Wyjaśnienie</w:t>
            </w:r>
          </w:p>
        </w:tc>
      </w:tr>
      <w:tr w:rsidR="006A2A46" w:rsidRPr="006A2A46" w14:paraId="46458776" w14:textId="77777777" w:rsidTr="00961E86">
        <w:trPr>
          <w:trHeight w:val="2350"/>
        </w:trPr>
        <w:tc>
          <w:tcPr>
            <w:tcW w:w="740" w:type="dxa"/>
            <w:shd w:val="clear" w:color="auto" w:fill="FFFFFF" w:themeFill="background1"/>
            <w:vAlign w:val="center"/>
            <w:hideMark/>
          </w:tcPr>
          <w:p w14:paraId="19F4A212"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1</w:t>
            </w:r>
          </w:p>
        </w:tc>
        <w:tc>
          <w:tcPr>
            <w:tcW w:w="4440" w:type="dxa"/>
            <w:shd w:val="clear" w:color="auto" w:fill="auto"/>
            <w:vAlign w:val="center"/>
            <w:hideMark/>
          </w:tcPr>
          <w:p w14:paraId="58FA4E1A"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Dzierżawa/wynajem majątku celem odliczenia VAT od wydatków na jego wytworzenie i/lub utrzymanie. </w:t>
            </w:r>
          </w:p>
        </w:tc>
        <w:tc>
          <w:tcPr>
            <w:tcW w:w="5260" w:type="dxa"/>
            <w:shd w:val="clear" w:color="auto" w:fill="auto"/>
            <w:vAlign w:val="center"/>
            <w:hideMark/>
          </w:tcPr>
          <w:p w14:paraId="159312D1"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W szczególności dotyczyć to może infrastruktury wodno-kanalizacyjnej, obiektów sportowych, kulturalnych – w sytuacji, gdy dzierżawa takich obiektów nie jest powszechnie praktykowana przez Jednostki Samorządu Terytorialnego (dalej: JST) w Polsce, ale dana JST podejmuje taką właśnie decyzję ze względu na odliczenie podatku VAT. Nie dotyczy to przypadków dzierżaw/wynajmów w ramach bieżącego zarządzania zasobem lokalowym, jak np. lokale użytkowe, mieszkania, miejsca pod działalność gospodarczą, etc.</w:t>
            </w:r>
          </w:p>
        </w:tc>
      </w:tr>
      <w:tr w:rsidR="006A2A46" w:rsidRPr="006A2A46" w14:paraId="059A858C" w14:textId="77777777" w:rsidTr="00961E86">
        <w:trPr>
          <w:trHeight w:val="1310"/>
        </w:trPr>
        <w:tc>
          <w:tcPr>
            <w:tcW w:w="740" w:type="dxa"/>
            <w:shd w:val="clear" w:color="auto" w:fill="FFFFFF" w:themeFill="background1"/>
            <w:vAlign w:val="center"/>
            <w:hideMark/>
          </w:tcPr>
          <w:p w14:paraId="746A81CC"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2</w:t>
            </w:r>
          </w:p>
        </w:tc>
        <w:tc>
          <w:tcPr>
            <w:tcW w:w="4440" w:type="dxa"/>
            <w:shd w:val="clear" w:color="auto" w:fill="auto"/>
            <w:vAlign w:val="center"/>
            <w:hideMark/>
          </w:tcPr>
          <w:p w14:paraId="35025756"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Aport majątku celem odliczenia VAT od wydatków na jego wytworzenie. </w:t>
            </w:r>
          </w:p>
        </w:tc>
        <w:tc>
          <w:tcPr>
            <w:tcW w:w="5260" w:type="dxa"/>
            <w:shd w:val="clear" w:color="auto" w:fill="auto"/>
            <w:vAlign w:val="center"/>
            <w:hideMark/>
          </w:tcPr>
          <w:p w14:paraId="35DD4B32"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infrastruktury wodno-kanalizacyjnej, obiektów sportowych, kulturalnych – w sytuacji, gdy aport takich obiektów nie jest powszechnie praktykowany przez JST w Polsce, ale dana JST podejmuje taką właśnie decyzję ze względu na odliczenie podatku VAT. </w:t>
            </w:r>
          </w:p>
        </w:tc>
      </w:tr>
      <w:tr w:rsidR="006A2A46" w:rsidRPr="006A2A46" w14:paraId="5686F88A" w14:textId="77777777" w:rsidTr="00961E86">
        <w:trPr>
          <w:trHeight w:val="1570"/>
        </w:trPr>
        <w:tc>
          <w:tcPr>
            <w:tcW w:w="740" w:type="dxa"/>
            <w:shd w:val="clear" w:color="auto" w:fill="FFFFFF" w:themeFill="background1"/>
            <w:vAlign w:val="center"/>
            <w:hideMark/>
          </w:tcPr>
          <w:p w14:paraId="1402112C"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3</w:t>
            </w:r>
          </w:p>
        </w:tc>
        <w:tc>
          <w:tcPr>
            <w:tcW w:w="4440" w:type="dxa"/>
            <w:shd w:val="clear" w:color="auto" w:fill="auto"/>
            <w:vAlign w:val="center"/>
            <w:hideMark/>
          </w:tcPr>
          <w:p w14:paraId="2E597923"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Stosowanie współczynników i </w:t>
            </w:r>
            <w:proofErr w:type="spellStart"/>
            <w:r w:rsidRPr="006A2A46">
              <w:rPr>
                <w:rFonts w:ascii="Calibri" w:eastAsia="Times New Roman" w:hAnsi="Calibri" w:cs="Calibri"/>
                <w:b/>
                <w:bCs/>
                <w:color w:val="000000"/>
                <w:sz w:val="20"/>
                <w:szCs w:val="20"/>
                <w:lang w:eastAsia="pl-PL"/>
              </w:rPr>
              <w:t>pre</w:t>
            </w:r>
            <w:proofErr w:type="spellEnd"/>
            <w:r w:rsidRPr="006A2A46">
              <w:rPr>
                <w:rFonts w:ascii="Calibri" w:eastAsia="Times New Roman" w:hAnsi="Calibri" w:cs="Calibri"/>
                <w:b/>
                <w:bCs/>
                <w:color w:val="000000"/>
                <w:sz w:val="20"/>
                <w:szCs w:val="20"/>
                <w:lang w:eastAsia="pl-PL"/>
              </w:rPr>
              <w:t xml:space="preserve">-współczynników innych niż określone wprost w ustawie o VAT oraz w Rozporządzeniu VAT. </w:t>
            </w:r>
          </w:p>
        </w:tc>
        <w:tc>
          <w:tcPr>
            <w:tcW w:w="5260" w:type="dxa"/>
            <w:shd w:val="clear" w:color="auto" w:fill="auto"/>
            <w:vAlign w:val="center"/>
            <w:hideMark/>
          </w:tcPr>
          <w:p w14:paraId="3988F760" w14:textId="348044CA"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W szczególności dotyczyć to może sytuacji, w których JST, celem wyliczenia wartości wskaźników, posługiwać się będzie ilością – przykładowo – metrów kwadratowych, metrów sześciennych,</w:t>
            </w:r>
            <w:r w:rsidR="00DE4A73">
              <w:rPr>
                <w:rFonts w:ascii="Calibri" w:eastAsia="Times New Roman" w:hAnsi="Calibri" w:cs="Calibri"/>
                <w:color w:val="000000"/>
                <w:sz w:val="20"/>
                <w:szCs w:val="20"/>
                <w:lang w:eastAsia="pl-PL"/>
              </w:rPr>
              <w:t xml:space="preserve"> przychodów,</w:t>
            </w:r>
            <w:r w:rsidRPr="006A2A46">
              <w:rPr>
                <w:rFonts w:ascii="Calibri" w:eastAsia="Times New Roman" w:hAnsi="Calibri" w:cs="Calibri"/>
                <w:color w:val="000000"/>
                <w:sz w:val="20"/>
                <w:szCs w:val="20"/>
                <w:lang w:eastAsia="pl-PL"/>
              </w:rPr>
              <w:t xml:space="preserve"> liczbą godzin, liczbą osób/pracowników, liczbą/częstotliwością określonych zdarzeń, etc.</w:t>
            </w:r>
          </w:p>
        </w:tc>
      </w:tr>
      <w:tr w:rsidR="006A2A46" w:rsidRPr="006A2A46" w14:paraId="55786D28" w14:textId="77777777" w:rsidTr="00961E86">
        <w:trPr>
          <w:trHeight w:val="1570"/>
        </w:trPr>
        <w:tc>
          <w:tcPr>
            <w:tcW w:w="740" w:type="dxa"/>
            <w:shd w:val="clear" w:color="auto" w:fill="FFFFFF" w:themeFill="background1"/>
            <w:vAlign w:val="center"/>
            <w:hideMark/>
          </w:tcPr>
          <w:p w14:paraId="12F997BC"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4</w:t>
            </w:r>
          </w:p>
        </w:tc>
        <w:tc>
          <w:tcPr>
            <w:tcW w:w="4440" w:type="dxa"/>
            <w:shd w:val="clear" w:color="auto" w:fill="auto"/>
            <w:vAlign w:val="center"/>
            <w:hideMark/>
          </w:tcPr>
          <w:p w14:paraId="0C3EB35C"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Wprowadzanie opłat cywilnoprawnych (wynagrodzenia w rozumieniu VAT) na określonych obiektach celem odliczenia VAT od wydatków na ich wytworzenie i/lub utrzymanie. </w:t>
            </w:r>
          </w:p>
        </w:tc>
        <w:tc>
          <w:tcPr>
            <w:tcW w:w="5260" w:type="dxa"/>
            <w:shd w:val="clear" w:color="auto" w:fill="auto"/>
            <w:vAlign w:val="center"/>
            <w:hideMark/>
          </w:tcPr>
          <w:p w14:paraId="5C737C67"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W szczególności dotyczyć to może sytuacji, gdy opłaty takie nie są powszechnie praktykowane przez JST w Polsce, ale dana JST podejmuje taką właśnie decyzję ze względu na odliczenie podatku VAT. Przykładowo dotyczy to opłat wstępu na ogólnodostępne imprezy, do parków, dodatkowe opłaty na targowiskach oprócz opłaty targowej, etc.</w:t>
            </w:r>
          </w:p>
        </w:tc>
      </w:tr>
      <w:tr w:rsidR="006A2A46" w:rsidRPr="006A2A46" w14:paraId="0D8BD64B" w14:textId="77777777" w:rsidTr="00961E86">
        <w:trPr>
          <w:trHeight w:val="2350"/>
        </w:trPr>
        <w:tc>
          <w:tcPr>
            <w:tcW w:w="740" w:type="dxa"/>
            <w:shd w:val="clear" w:color="auto" w:fill="FFFFFF" w:themeFill="background1"/>
            <w:vAlign w:val="center"/>
            <w:hideMark/>
          </w:tcPr>
          <w:p w14:paraId="08008D66"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5</w:t>
            </w:r>
          </w:p>
        </w:tc>
        <w:tc>
          <w:tcPr>
            <w:tcW w:w="4440" w:type="dxa"/>
            <w:shd w:val="clear" w:color="auto" w:fill="auto"/>
            <w:vAlign w:val="center"/>
            <w:hideMark/>
          </w:tcPr>
          <w:p w14:paraId="183D2AD2"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Generowanie obrotu podlegającego VAT dla czynności zasadniczo pozostających poza zakresem VAT celem uniknięcia konieczności stosowania współczynnika VAT i/lub </w:t>
            </w:r>
            <w:proofErr w:type="spellStart"/>
            <w:r w:rsidRPr="006A2A46">
              <w:rPr>
                <w:rFonts w:ascii="Calibri" w:eastAsia="Times New Roman" w:hAnsi="Calibri" w:cs="Calibri"/>
                <w:b/>
                <w:bCs/>
                <w:color w:val="000000"/>
                <w:sz w:val="20"/>
                <w:szCs w:val="20"/>
                <w:lang w:eastAsia="pl-PL"/>
              </w:rPr>
              <w:t>pre</w:t>
            </w:r>
            <w:proofErr w:type="spellEnd"/>
            <w:r w:rsidRPr="006A2A46">
              <w:rPr>
                <w:rFonts w:ascii="Calibri" w:eastAsia="Times New Roman" w:hAnsi="Calibri" w:cs="Calibri"/>
                <w:b/>
                <w:bCs/>
                <w:color w:val="000000"/>
                <w:sz w:val="20"/>
                <w:szCs w:val="20"/>
                <w:lang w:eastAsia="pl-PL"/>
              </w:rPr>
              <w:t xml:space="preserve">-współczynnika VAT. </w:t>
            </w:r>
          </w:p>
        </w:tc>
        <w:tc>
          <w:tcPr>
            <w:tcW w:w="5260" w:type="dxa"/>
            <w:shd w:val="clear" w:color="auto" w:fill="auto"/>
            <w:vAlign w:val="center"/>
            <w:hideMark/>
          </w:tcPr>
          <w:p w14:paraId="7DA06691"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W szczególności dotyczyć to może sytuacji, gdy JST podejmie decyzję o wprowadzaniu opłat dla rodziców dzieci korzystających z obiektów sportowych w ramach zająć naukowo-wychowawczych lub też decyzji o wprowadzeniu odpłatności za pochówek osób bezdomnych na cmentarzu komunalnych, którą ponosić miałby nie ośrodek pomocy społecznej, lecz np. zewnętrzny zarządca (podmiot, który de facto nie znajduje uzasadnienia ekonomicznego w dokonywaniu takich odpłatności).</w:t>
            </w:r>
          </w:p>
        </w:tc>
      </w:tr>
      <w:tr w:rsidR="006A2A46" w:rsidRPr="006A2A46" w14:paraId="3AF50CD8" w14:textId="77777777" w:rsidTr="00961E86">
        <w:trPr>
          <w:trHeight w:val="1570"/>
        </w:trPr>
        <w:tc>
          <w:tcPr>
            <w:tcW w:w="740" w:type="dxa"/>
            <w:shd w:val="clear" w:color="auto" w:fill="FFFFFF" w:themeFill="background1"/>
            <w:vAlign w:val="center"/>
            <w:hideMark/>
          </w:tcPr>
          <w:p w14:paraId="48A8BA69"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6</w:t>
            </w:r>
          </w:p>
        </w:tc>
        <w:tc>
          <w:tcPr>
            <w:tcW w:w="4440" w:type="dxa"/>
            <w:shd w:val="clear" w:color="auto" w:fill="auto"/>
            <w:vAlign w:val="center"/>
            <w:hideMark/>
          </w:tcPr>
          <w:p w14:paraId="0C042CB5"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Podział jednorodnej inwestycji na mniejsze fragmenty.</w:t>
            </w:r>
          </w:p>
        </w:tc>
        <w:tc>
          <w:tcPr>
            <w:tcW w:w="5260" w:type="dxa"/>
            <w:shd w:val="clear" w:color="auto" w:fill="auto"/>
            <w:vAlign w:val="center"/>
            <w:hideMark/>
          </w:tcPr>
          <w:p w14:paraId="1733D813"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gdy JST dąży do tego, aby wykonawca wystawił zamiast jednej – kilka faktur, co miałaby pozwolić na ich przyporządkowanie do czynności dających pełne/wyższe prawo do odliczenia (np. w sytuacji, gdyby zasadniczo należało zastosować odliczenie VAT przy pomocy tzw. </w:t>
            </w:r>
            <w:proofErr w:type="spellStart"/>
            <w:r w:rsidRPr="006A2A46">
              <w:rPr>
                <w:rFonts w:ascii="Calibri" w:eastAsia="Times New Roman" w:hAnsi="Calibri" w:cs="Calibri"/>
                <w:color w:val="000000"/>
                <w:sz w:val="20"/>
                <w:szCs w:val="20"/>
                <w:lang w:eastAsia="pl-PL"/>
              </w:rPr>
              <w:t>pre</w:t>
            </w:r>
            <w:proofErr w:type="spellEnd"/>
            <w:r w:rsidRPr="006A2A46">
              <w:rPr>
                <w:rFonts w:ascii="Calibri" w:eastAsia="Times New Roman" w:hAnsi="Calibri" w:cs="Calibri"/>
                <w:color w:val="000000"/>
                <w:sz w:val="20"/>
                <w:szCs w:val="20"/>
                <w:lang w:eastAsia="pl-PL"/>
              </w:rPr>
              <w:t>-współczynnika).</w:t>
            </w:r>
          </w:p>
        </w:tc>
      </w:tr>
      <w:tr w:rsidR="006A2A46" w:rsidRPr="006A2A46" w14:paraId="18BEF997" w14:textId="77777777" w:rsidTr="00961E86">
        <w:trPr>
          <w:trHeight w:val="1570"/>
        </w:trPr>
        <w:tc>
          <w:tcPr>
            <w:tcW w:w="740" w:type="dxa"/>
            <w:shd w:val="clear" w:color="auto" w:fill="FFFFFF" w:themeFill="background1"/>
            <w:vAlign w:val="center"/>
            <w:hideMark/>
          </w:tcPr>
          <w:p w14:paraId="65FAA04B"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7</w:t>
            </w:r>
          </w:p>
        </w:tc>
        <w:tc>
          <w:tcPr>
            <w:tcW w:w="4440" w:type="dxa"/>
            <w:shd w:val="clear" w:color="auto" w:fill="auto"/>
            <w:vAlign w:val="center"/>
            <w:hideMark/>
          </w:tcPr>
          <w:p w14:paraId="5AE457AD"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Przekształcenie jednostki w inną formę prawną celem polepszania sytuacji podatkowej. </w:t>
            </w:r>
          </w:p>
        </w:tc>
        <w:tc>
          <w:tcPr>
            <w:tcW w:w="5260" w:type="dxa"/>
            <w:shd w:val="clear" w:color="auto" w:fill="auto"/>
            <w:vAlign w:val="center"/>
            <w:hideMark/>
          </w:tcPr>
          <w:p w14:paraId="05048069"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przekształcenia jednostki budżetowej w zakład budżetowy, gdyż </w:t>
            </w:r>
            <w:proofErr w:type="spellStart"/>
            <w:r w:rsidRPr="006A2A46">
              <w:rPr>
                <w:rFonts w:ascii="Calibri" w:eastAsia="Times New Roman" w:hAnsi="Calibri" w:cs="Calibri"/>
                <w:color w:val="000000"/>
                <w:sz w:val="20"/>
                <w:szCs w:val="20"/>
                <w:lang w:eastAsia="pl-PL"/>
              </w:rPr>
              <w:t>pre</w:t>
            </w:r>
            <w:proofErr w:type="spellEnd"/>
            <w:r w:rsidRPr="006A2A46">
              <w:rPr>
                <w:rFonts w:ascii="Calibri" w:eastAsia="Times New Roman" w:hAnsi="Calibri" w:cs="Calibri"/>
                <w:color w:val="000000"/>
                <w:sz w:val="20"/>
                <w:szCs w:val="20"/>
                <w:lang w:eastAsia="pl-PL"/>
              </w:rPr>
              <w:t xml:space="preserve">-współczynniki dla zakładów budżetowych osiągają zasadniczo wyższe wartości lub przekształcenia zakładu budżetowego w spółkę, co pozwoliłoby udostępnić miejski majątek na rzecz spółki na podstawie umowy dzierżawy. </w:t>
            </w:r>
          </w:p>
        </w:tc>
      </w:tr>
      <w:tr w:rsidR="006A2A46" w:rsidRPr="006A2A46" w14:paraId="43948C53" w14:textId="77777777" w:rsidTr="00961E86">
        <w:trPr>
          <w:trHeight w:val="2350"/>
        </w:trPr>
        <w:tc>
          <w:tcPr>
            <w:tcW w:w="740" w:type="dxa"/>
            <w:shd w:val="clear" w:color="auto" w:fill="FFFFFF" w:themeFill="background1"/>
            <w:vAlign w:val="center"/>
            <w:hideMark/>
          </w:tcPr>
          <w:p w14:paraId="7179C73B"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lastRenderedPageBreak/>
              <w:t>8</w:t>
            </w:r>
          </w:p>
        </w:tc>
        <w:tc>
          <w:tcPr>
            <w:tcW w:w="4440" w:type="dxa"/>
            <w:shd w:val="clear" w:color="auto" w:fill="auto"/>
            <w:vAlign w:val="center"/>
            <w:hideMark/>
          </w:tcPr>
          <w:p w14:paraId="67DD172B"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Zmiana założeń przebiegu inwestycji.</w:t>
            </w:r>
          </w:p>
        </w:tc>
        <w:tc>
          <w:tcPr>
            <w:tcW w:w="5260" w:type="dxa"/>
            <w:shd w:val="clear" w:color="auto" w:fill="auto"/>
            <w:vAlign w:val="center"/>
            <w:hideMark/>
          </w:tcPr>
          <w:p w14:paraId="27CECCD3"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W szczególności dotyczyć to może sytuacji, w której JST planowałaby budowę np. sieci wodociągowej, do której podłączone miałyby zostać m.in. siedziby jednostek budżetowych, jednak ostateczny przebieg inwestycji zostałby zmieniony, w ten sposób, że siedziby jednostek budżetowych zostałyby pominięte, a inwestycja objęłaby wyłącznie podmioty zewnętrzne (mieszkańców, przedsiębiorstwa), celem pełnego odliczenia podatku VAT i osiągnięcia z tego tytułu korzyści podatkowych.</w:t>
            </w:r>
          </w:p>
        </w:tc>
      </w:tr>
      <w:tr w:rsidR="006A2A46" w:rsidRPr="006A2A46" w14:paraId="60A48858" w14:textId="77777777" w:rsidTr="00961E86">
        <w:trPr>
          <w:trHeight w:val="3130"/>
        </w:trPr>
        <w:tc>
          <w:tcPr>
            <w:tcW w:w="740" w:type="dxa"/>
            <w:shd w:val="clear" w:color="auto" w:fill="FFFFFF" w:themeFill="background1"/>
            <w:vAlign w:val="center"/>
            <w:hideMark/>
          </w:tcPr>
          <w:p w14:paraId="34D8258B"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9</w:t>
            </w:r>
          </w:p>
        </w:tc>
        <w:tc>
          <w:tcPr>
            <w:tcW w:w="4440" w:type="dxa"/>
            <w:shd w:val="clear" w:color="auto" w:fill="auto"/>
            <w:vAlign w:val="center"/>
            <w:hideMark/>
          </w:tcPr>
          <w:p w14:paraId="632513B8"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Wprowadzanie wysokości opłaty na poziomie symbolicznej złotówki za czynności zasadniczo nieodpłatne (celem uniknięcia opodatkowania usługi zgodnie z art. 8 ust. 2 ustawy o VAT).</w:t>
            </w:r>
          </w:p>
        </w:tc>
        <w:tc>
          <w:tcPr>
            <w:tcW w:w="5260" w:type="dxa"/>
            <w:shd w:val="clear" w:color="auto" w:fill="auto"/>
            <w:vAlign w:val="center"/>
            <w:hideMark/>
          </w:tcPr>
          <w:p w14:paraId="20726BF6"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nakładania symbolicznych opłat na czynności nieodpłatne celem uniknięcia opodatkowania usług nieodpłatnych – przykładowo, gdy JST zechce użyczyć lokal spółce, (co nie będzie zadaniem własnym JST, jednak będzie stanowiło czynność opodatkowaną, zgodnie z art. 8 ust. 2 pkt 2) ustawy o VAT), jednak zamiast nieodpłatnego użyczenia, postanowi odpłatnie wynająć taki lokal za symboliczną opłatą np. 1 zł, żeby móc odprowadzić podatek VAT wyłącznie od tejże symbolicznej opłaty, jak wskazano powyżej, celem uniknięcia opodatkowania usług nieodpłatnych. </w:t>
            </w:r>
          </w:p>
        </w:tc>
      </w:tr>
      <w:tr w:rsidR="006A2A46" w:rsidRPr="006A2A46" w14:paraId="4E069FB4" w14:textId="77777777" w:rsidTr="00961E86">
        <w:trPr>
          <w:trHeight w:val="1830"/>
        </w:trPr>
        <w:tc>
          <w:tcPr>
            <w:tcW w:w="740" w:type="dxa"/>
            <w:shd w:val="clear" w:color="auto" w:fill="FFFFFF" w:themeFill="background1"/>
            <w:vAlign w:val="center"/>
            <w:hideMark/>
          </w:tcPr>
          <w:p w14:paraId="230F78DA"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10</w:t>
            </w:r>
          </w:p>
        </w:tc>
        <w:tc>
          <w:tcPr>
            <w:tcW w:w="4440" w:type="dxa"/>
            <w:shd w:val="clear" w:color="auto" w:fill="auto"/>
            <w:vAlign w:val="center"/>
            <w:hideMark/>
          </w:tcPr>
          <w:p w14:paraId="239C17B7"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Dokonanie zmiany sposobu wykorzystywania majątku JST, skutkującego możliwością odliczenia podatku VAT naliczonego w ramach korekty wieloletniej</w:t>
            </w:r>
            <w:r w:rsidRPr="006A2A46">
              <w:rPr>
                <w:rFonts w:ascii="Calibri" w:eastAsia="Times New Roman" w:hAnsi="Calibri" w:cs="Calibri"/>
                <w:b/>
                <w:bCs/>
                <w:color w:val="000000"/>
                <w:sz w:val="18"/>
                <w:szCs w:val="18"/>
                <w:lang w:eastAsia="pl-PL"/>
              </w:rPr>
              <w:t xml:space="preserve"> </w:t>
            </w:r>
          </w:p>
        </w:tc>
        <w:tc>
          <w:tcPr>
            <w:tcW w:w="5260" w:type="dxa"/>
            <w:shd w:val="clear" w:color="auto" w:fill="auto"/>
            <w:vAlign w:val="center"/>
            <w:hideMark/>
          </w:tcPr>
          <w:p w14:paraId="36469D20"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gdy JST pierwotnie wykorzystywałaby efekty inwestycji wyłącznie w zakresie czynności niepodlegających ustawie o VAT, jednak w wyniku zmiany, zaczęłaby wykorzystywać efekty inwestycji na rzecz czynności opodatkowanych, w celu odliczenia VAT naliczonego od poniesionych wydatków, w ramach korekty wieloletniej. </w:t>
            </w:r>
          </w:p>
        </w:tc>
      </w:tr>
      <w:tr w:rsidR="006A2A46" w:rsidRPr="006A2A46" w14:paraId="1C94E329" w14:textId="77777777" w:rsidTr="00961E86">
        <w:trPr>
          <w:trHeight w:val="1310"/>
        </w:trPr>
        <w:tc>
          <w:tcPr>
            <w:tcW w:w="740" w:type="dxa"/>
            <w:shd w:val="clear" w:color="auto" w:fill="FFFFFF" w:themeFill="background1"/>
            <w:vAlign w:val="center"/>
            <w:hideMark/>
          </w:tcPr>
          <w:p w14:paraId="6F299660"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11</w:t>
            </w:r>
          </w:p>
        </w:tc>
        <w:tc>
          <w:tcPr>
            <w:tcW w:w="4440" w:type="dxa"/>
            <w:shd w:val="clear" w:color="auto" w:fill="auto"/>
            <w:vAlign w:val="center"/>
            <w:hideMark/>
          </w:tcPr>
          <w:p w14:paraId="297AE6D9"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Nieodpłatne udostępnienie budynku / lokalu przy jednoczesnym obciążaniu użytkownika kosztami zużytych mediów</w:t>
            </w:r>
          </w:p>
        </w:tc>
        <w:tc>
          <w:tcPr>
            <w:tcW w:w="5260" w:type="dxa"/>
            <w:shd w:val="clear" w:color="auto" w:fill="auto"/>
            <w:vAlign w:val="center"/>
            <w:hideMark/>
          </w:tcPr>
          <w:p w14:paraId="6AF6E3FA"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gdy JST podejmie decyzję o rezygnacji z pobierania czynszu dzierżawnego z tytułu udostępnienia danej nieruchomości, jednakże obciążać będzie użytkownika tejże nieruchomości kosztami zużytych mediów. </w:t>
            </w:r>
          </w:p>
        </w:tc>
      </w:tr>
      <w:tr w:rsidR="006A2A46" w:rsidRPr="006A2A46" w14:paraId="7AEDAF92" w14:textId="77777777" w:rsidTr="00961E86">
        <w:trPr>
          <w:trHeight w:val="1830"/>
        </w:trPr>
        <w:tc>
          <w:tcPr>
            <w:tcW w:w="740" w:type="dxa"/>
            <w:shd w:val="clear" w:color="auto" w:fill="FFFFFF" w:themeFill="background1"/>
            <w:vAlign w:val="center"/>
            <w:hideMark/>
          </w:tcPr>
          <w:p w14:paraId="16DB60C2" w14:textId="77777777" w:rsidR="006A2A46" w:rsidRPr="006A2A46" w:rsidRDefault="006A2A46" w:rsidP="006A2A46">
            <w:pPr>
              <w:spacing w:after="0" w:line="240" w:lineRule="auto"/>
              <w:jc w:val="center"/>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12</w:t>
            </w:r>
          </w:p>
        </w:tc>
        <w:tc>
          <w:tcPr>
            <w:tcW w:w="4440" w:type="dxa"/>
            <w:shd w:val="clear" w:color="auto" w:fill="auto"/>
            <w:vAlign w:val="center"/>
            <w:hideMark/>
          </w:tcPr>
          <w:p w14:paraId="791BA32D" w14:textId="77777777" w:rsidR="006A2A46" w:rsidRPr="006A2A46" w:rsidRDefault="006A2A46" w:rsidP="006A2A46">
            <w:pPr>
              <w:spacing w:after="0" w:line="240" w:lineRule="auto"/>
              <w:rPr>
                <w:rFonts w:ascii="Calibri" w:eastAsia="Times New Roman" w:hAnsi="Calibri" w:cs="Calibri"/>
                <w:b/>
                <w:bCs/>
                <w:color w:val="000000"/>
                <w:sz w:val="20"/>
                <w:szCs w:val="20"/>
                <w:lang w:eastAsia="pl-PL"/>
              </w:rPr>
            </w:pPr>
            <w:r w:rsidRPr="006A2A46">
              <w:rPr>
                <w:rFonts w:ascii="Calibri" w:eastAsia="Times New Roman" w:hAnsi="Calibri" w:cs="Calibri"/>
                <w:b/>
                <w:bCs/>
                <w:color w:val="000000"/>
                <w:sz w:val="20"/>
                <w:szCs w:val="20"/>
                <w:lang w:eastAsia="pl-PL"/>
              </w:rPr>
              <w:t xml:space="preserve">Przekazywanie prowadzenia danego obszaru działalności na rzecz jednostki organizacyjnej JST (przy jednoczesnym jej zasileniu finansowym) celem stosowania wskaźników odliczenia VAT właściwych dla tejże jednostki </w:t>
            </w:r>
          </w:p>
        </w:tc>
        <w:tc>
          <w:tcPr>
            <w:tcW w:w="5260" w:type="dxa"/>
            <w:shd w:val="clear" w:color="auto" w:fill="auto"/>
            <w:vAlign w:val="center"/>
            <w:hideMark/>
          </w:tcPr>
          <w:p w14:paraId="344FF819" w14:textId="77777777" w:rsidR="006A2A46" w:rsidRPr="006A2A46" w:rsidRDefault="006A2A46" w:rsidP="006A2A46">
            <w:pPr>
              <w:spacing w:after="0" w:line="240" w:lineRule="auto"/>
              <w:rPr>
                <w:rFonts w:ascii="Calibri" w:eastAsia="Times New Roman" w:hAnsi="Calibri" w:cs="Calibri"/>
                <w:color w:val="000000"/>
                <w:sz w:val="20"/>
                <w:szCs w:val="20"/>
                <w:lang w:eastAsia="pl-PL"/>
              </w:rPr>
            </w:pPr>
            <w:r w:rsidRPr="006A2A46">
              <w:rPr>
                <w:rFonts w:ascii="Calibri" w:eastAsia="Times New Roman" w:hAnsi="Calibri" w:cs="Calibri"/>
                <w:color w:val="000000"/>
                <w:sz w:val="20"/>
                <w:szCs w:val="20"/>
                <w:lang w:eastAsia="pl-PL"/>
              </w:rPr>
              <w:t xml:space="preserve">W szczególności dotyczyć to może sytuacji, gdy JST zrealizowałaby inwestycję, zaś prowadzenie działalności przy użyciu efektów tej inwestycji powierzyłaby jednostce organizacyjnej, której wskaźniki odliczenia VAT byłyby wyższe od wskaźników jednostki, której JST pierwotnie zamierzała powierzyć prowadzenie danej działalności przy użyciu efektów inwestycji. </w:t>
            </w:r>
          </w:p>
        </w:tc>
      </w:tr>
    </w:tbl>
    <w:p w14:paraId="0B7561BD" w14:textId="77777777" w:rsidR="006A2A46" w:rsidRPr="006A2A46" w:rsidRDefault="006A2A46" w:rsidP="006A2A46">
      <w:pPr>
        <w:spacing w:after="200" w:line="276" w:lineRule="auto"/>
        <w:rPr>
          <w:rFonts w:ascii="Calibri" w:eastAsia="Times New Roman" w:hAnsi="Calibri" w:cs="Times New Roman"/>
          <w:lang w:val="x-none" w:eastAsia="x-none"/>
        </w:rPr>
      </w:pPr>
      <w:r w:rsidRPr="006A2A46">
        <w:rPr>
          <w:rFonts w:ascii="Calibri" w:eastAsia="Times New Roman" w:hAnsi="Calibri" w:cs="Times New Roman"/>
          <w:lang w:val="x-none" w:eastAsia="x-none"/>
        </w:rPr>
        <w:fldChar w:fldCharType="end"/>
      </w:r>
    </w:p>
    <w:p w14:paraId="31334024" w14:textId="6FB4E990" w:rsidR="00443E62" w:rsidRDefault="00443E62"/>
    <w:p w14:paraId="0A713446" w14:textId="33EF17C1" w:rsidR="001A480C" w:rsidRDefault="001A480C"/>
    <w:p w14:paraId="766F1509" w14:textId="1E86F6E1" w:rsidR="001A480C" w:rsidRDefault="001A480C"/>
    <w:p w14:paraId="3AB9CBE9" w14:textId="04D09000" w:rsidR="001A480C" w:rsidRDefault="001A480C"/>
    <w:p w14:paraId="5031081F" w14:textId="041168FA" w:rsidR="001A480C" w:rsidRDefault="001A480C"/>
    <w:p w14:paraId="2AF4FEE3" w14:textId="13E3098F" w:rsidR="001A480C" w:rsidRDefault="001A480C"/>
    <w:p w14:paraId="07F2642E" w14:textId="78F9F925" w:rsidR="001A480C" w:rsidRDefault="001A480C"/>
    <w:p w14:paraId="19B930BB" w14:textId="7DC93C0E" w:rsidR="001A480C" w:rsidRPr="00EB173F" w:rsidRDefault="001A480C" w:rsidP="00EB173F">
      <w:pPr>
        <w:pStyle w:val="Nagwek2"/>
        <w:rPr>
          <w:rFonts w:asciiTheme="minorHAnsi" w:hAnsiTheme="minorHAnsi" w:cstheme="minorHAnsi"/>
          <w:b/>
          <w:bCs/>
          <w:color w:val="auto"/>
          <w:sz w:val="24"/>
          <w:szCs w:val="24"/>
        </w:rPr>
      </w:pPr>
      <w:bookmarkStart w:id="33" w:name="_Toc65505177"/>
      <w:r w:rsidRPr="00EB173F">
        <w:rPr>
          <w:rFonts w:asciiTheme="minorHAnsi" w:hAnsiTheme="minorHAnsi" w:cstheme="minorHAnsi"/>
          <w:color w:val="auto"/>
          <w:sz w:val="24"/>
          <w:szCs w:val="24"/>
        </w:rPr>
        <w:lastRenderedPageBreak/>
        <w:t>Załącznik nr 6</w:t>
      </w:r>
      <w:r w:rsidR="00EE48FF" w:rsidRPr="00EB173F">
        <w:rPr>
          <w:rFonts w:asciiTheme="minorHAnsi" w:hAnsiTheme="minorHAnsi" w:cstheme="minorHAnsi"/>
          <w:color w:val="auto"/>
          <w:sz w:val="24"/>
          <w:szCs w:val="24"/>
        </w:rPr>
        <w:t>: Procedura oceny czy uzgodnienie podlega obowiązkowi raportowania na podstawie przepisów MDR</w:t>
      </w:r>
      <w:bookmarkEnd w:id="33"/>
    </w:p>
    <w:p w14:paraId="0F8AB77D" w14:textId="77777777" w:rsidR="001A480C" w:rsidRDefault="001A480C" w:rsidP="001A480C">
      <w:pPr>
        <w:tabs>
          <w:tab w:val="left" w:pos="5865"/>
        </w:tabs>
        <w:spacing w:line="360" w:lineRule="auto"/>
        <w:jc w:val="center"/>
      </w:pPr>
    </w:p>
    <w:p w14:paraId="392A71D2" w14:textId="0A05F2DE" w:rsidR="001A480C" w:rsidRDefault="001A480C">
      <w:r>
        <w:rPr>
          <w:noProof/>
          <w:lang w:eastAsia="pl-PL"/>
        </w:rPr>
        <w:drawing>
          <wp:inline distT="0" distB="0" distL="0" distR="0" wp14:anchorId="2142F33F" wp14:editId="207A89C0">
            <wp:extent cx="5760720" cy="5691570"/>
            <wp:effectExtent l="19050" t="0" r="0" b="0"/>
            <wp:docPr id="1" name="Obraz 1" descr="C:\Users\MANDRZ~1\AppData\Local\Temp\nsk6E4E.tmp\ContainedTemp\Bez%A0tytuł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DRZ~1\AppData\Local\Temp\nsk6E4E.tmp\ContainedTemp\Bez%A0tytułu.jpg"/>
                    <pic:cNvPicPr>
                      <a:picLocks noChangeAspect="1" noChangeArrowheads="1"/>
                    </pic:cNvPicPr>
                  </pic:nvPicPr>
                  <pic:blipFill>
                    <a:blip r:embed="rId7"/>
                    <a:srcRect/>
                    <a:stretch>
                      <a:fillRect/>
                    </a:stretch>
                  </pic:blipFill>
                  <pic:spPr bwMode="auto">
                    <a:xfrm>
                      <a:off x="0" y="0"/>
                      <a:ext cx="5760720" cy="5691570"/>
                    </a:xfrm>
                    <a:prstGeom prst="rect">
                      <a:avLst/>
                    </a:prstGeom>
                    <a:noFill/>
                    <a:ln w="9525">
                      <a:noFill/>
                      <a:miter lim="800000"/>
                      <a:headEnd/>
                      <a:tailEnd/>
                    </a:ln>
                  </pic:spPr>
                </pic:pic>
              </a:graphicData>
            </a:graphic>
          </wp:inline>
        </w:drawing>
      </w:r>
    </w:p>
    <w:sectPr w:rsidR="001A480C" w:rsidSect="00EF6765">
      <w:footerReference w:type="default" r:id="rId8"/>
      <w:pgSz w:w="11905" w:h="16837"/>
      <w:pgMar w:top="1133" w:right="566" w:bottom="1417" w:left="566" w:header="708" w:footer="708"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4BE12E" w14:textId="77777777" w:rsidR="00C320CB" w:rsidRDefault="00C320CB">
      <w:pPr>
        <w:spacing w:after="0" w:line="240" w:lineRule="auto"/>
      </w:pPr>
      <w:r>
        <w:separator/>
      </w:r>
    </w:p>
  </w:endnote>
  <w:endnote w:type="continuationSeparator" w:id="0">
    <w:p w14:paraId="09AF6CE8" w14:textId="77777777" w:rsidR="00C320CB" w:rsidRDefault="00C3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75698495"/>
      <w:docPartObj>
        <w:docPartGallery w:val="Page Numbers (Bottom of Page)"/>
        <w:docPartUnique/>
      </w:docPartObj>
    </w:sdtPr>
    <w:sdtEndPr/>
    <w:sdtContent>
      <w:p w14:paraId="16306C90" w14:textId="77777777" w:rsidR="00C9403D" w:rsidRDefault="00C9403D">
        <w:pPr>
          <w:pStyle w:val="Stopka"/>
          <w:jc w:val="center"/>
        </w:pPr>
        <w:r>
          <w:fldChar w:fldCharType="begin"/>
        </w:r>
        <w:r>
          <w:instrText>PAGE   \* MERGEFORMAT</w:instrText>
        </w:r>
        <w:r>
          <w:fldChar w:fldCharType="separate"/>
        </w:r>
        <w:r>
          <w:rPr>
            <w:noProof/>
          </w:rPr>
          <w:t>21</w:t>
        </w:r>
        <w:r>
          <w:fldChar w:fldCharType="end"/>
        </w:r>
      </w:p>
    </w:sdtContent>
  </w:sdt>
  <w:p w14:paraId="5AC18EBA" w14:textId="77777777" w:rsidR="00C9403D" w:rsidRDefault="00C9403D">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4E568" w14:textId="77777777" w:rsidR="00C320CB" w:rsidRDefault="00C320CB">
      <w:pPr>
        <w:spacing w:after="0" w:line="240" w:lineRule="auto"/>
      </w:pPr>
      <w:r>
        <w:separator/>
      </w:r>
    </w:p>
  </w:footnote>
  <w:footnote w:type="continuationSeparator" w:id="0">
    <w:p w14:paraId="09C4E794" w14:textId="77777777" w:rsidR="00C320CB" w:rsidRDefault="00C320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68A1"/>
    <w:multiLevelType w:val="hybridMultilevel"/>
    <w:tmpl w:val="929AA0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736C12"/>
    <w:multiLevelType w:val="hybridMultilevel"/>
    <w:tmpl w:val="8D44DAF8"/>
    <w:lvl w:ilvl="0" w:tplc="710EB78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C7DF5"/>
    <w:multiLevelType w:val="hybridMultilevel"/>
    <w:tmpl w:val="02FAB1FA"/>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412D2"/>
    <w:multiLevelType w:val="hybridMultilevel"/>
    <w:tmpl w:val="2BEAF7F2"/>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C4314D"/>
    <w:multiLevelType w:val="hybridMultilevel"/>
    <w:tmpl w:val="946C99EE"/>
    <w:lvl w:ilvl="0" w:tplc="F3A83A5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2D41DC"/>
    <w:multiLevelType w:val="hybridMultilevel"/>
    <w:tmpl w:val="4F8C3CA6"/>
    <w:lvl w:ilvl="0" w:tplc="97984E1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03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D8E3E64"/>
    <w:multiLevelType w:val="hybridMultilevel"/>
    <w:tmpl w:val="1234B47A"/>
    <w:lvl w:ilvl="0" w:tplc="0415000F">
      <w:start w:val="1"/>
      <w:numFmt w:val="decimal"/>
      <w:lvlText w:val="%1."/>
      <w:lvlJc w:val="left"/>
      <w:pPr>
        <w:ind w:left="2061" w:hanging="360"/>
      </w:pPr>
    </w:lvl>
    <w:lvl w:ilvl="1" w:tplc="04150019">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79F51A6"/>
    <w:multiLevelType w:val="hybridMultilevel"/>
    <w:tmpl w:val="0FA4604A"/>
    <w:lvl w:ilvl="0" w:tplc="3E3CF8DA">
      <w:start w:val="1"/>
      <w:numFmt w:val="decimal"/>
      <w:lvlText w:val="%1."/>
      <w:lvlJc w:val="left"/>
      <w:pPr>
        <w:ind w:left="360" w:hanging="360"/>
      </w:pPr>
      <w:rPr>
        <w:rFonts w:hint="default"/>
      </w:rPr>
    </w:lvl>
    <w:lvl w:ilvl="1" w:tplc="6CA0C0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676643"/>
    <w:multiLevelType w:val="hybridMultilevel"/>
    <w:tmpl w:val="2BEAF7F2"/>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9C76A0"/>
    <w:multiLevelType w:val="hybridMultilevel"/>
    <w:tmpl w:val="FFB6AB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B4260EF"/>
    <w:multiLevelType w:val="hybridMultilevel"/>
    <w:tmpl w:val="19D8EFF6"/>
    <w:lvl w:ilvl="0" w:tplc="0415000F">
      <w:start w:val="1"/>
      <w:numFmt w:val="decimal"/>
      <w:lvlText w:val="%1."/>
      <w:lvlJc w:val="left"/>
      <w:pPr>
        <w:ind w:left="360" w:hanging="360"/>
      </w:pPr>
    </w:lvl>
    <w:lvl w:ilvl="1" w:tplc="04150019">
      <w:start w:val="1"/>
      <w:numFmt w:val="lowerLetter"/>
      <w:lvlText w:val="%2."/>
      <w:lvlJc w:val="left"/>
      <w:pPr>
        <w:ind w:left="644"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502B75"/>
    <w:multiLevelType w:val="hybridMultilevel"/>
    <w:tmpl w:val="C76037B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8F5C72"/>
    <w:multiLevelType w:val="hybridMultilevel"/>
    <w:tmpl w:val="90429FCE"/>
    <w:lvl w:ilvl="0" w:tplc="B624F6A8">
      <w:start w:val="1"/>
      <w:numFmt w:val="lowerLetter"/>
      <w:lvlText w:val="%1)"/>
      <w:lvlJc w:val="left"/>
      <w:pPr>
        <w:ind w:left="106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E10CE6"/>
    <w:multiLevelType w:val="hybridMultilevel"/>
    <w:tmpl w:val="B9989792"/>
    <w:lvl w:ilvl="0" w:tplc="0415000F">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4" w15:restartNumberingAfterBreak="0">
    <w:nsid w:val="2E6D5A7D"/>
    <w:multiLevelType w:val="hybridMultilevel"/>
    <w:tmpl w:val="D2B87006"/>
    <w:lvl w:ilvl="0" w:tplc="3E3CF8DA">
      <w:start w:val="1"/>
      <w:numFmt w:val="decimal"/>
      <w:lvlText w:val="%1."/>
      <w:lvlJc w:val="left"/>
      <w:pPr>
        <w:ind w:left="502" w:hanging="360"/>
      </w:pPr>
      <w:rPr>
        <w:rFonts w:hint="default"/>
      </w:rPr>
    </w:lvl>
    <w:lvl w:ilvl="1" w:tplc="13F056DA">
      <w:start w:val="1"/>
      <w:numFmt w:val="decimal"/>
      <w:lvlText w:val="%2)"/>
      <w:lvlJc w:val="left"/>
      <w:pPr>
        <w:ind w:left="1237" w:hanging="375"/>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07F2D78"/>
    <w:multiLevelType w:val="hybridMultilevel"/>
    <w:tmpl w:val="3FD07434"/>
    <w:lvl w:ilvl="0" w:tplc="04150019">
      <w:start w:val="1"/>
      <w:numFmt w:val="lowerLetter"/>
      <w:lvlText w:val="%1."/>
      <w:lvlJc w:val="left"/>
      <w:pPr>
        <w:ind w:left="360" w:hanging="360"/>
      </w:pPr>
    </w:lvl>
    <w:lvl w:ilvl="1" w:tplc="04150019">
      <w:start w:val="1"/>
      <w:numFmt w:val="lowerLetter"/>
      <w:lvlText w:val="%2."/>
      <w:lvlJc w:val="left"/>
      <w:pPr>
        <w:ind w:left="644" w:hanging="360"/>
      </w:pPr>
    </w:lvl>
    <w:lvl w:ilvl="2" w:tplc="04150001">
      <w:start w:val="1"/>
      <w:numFmt w:val="bullet"/>
      <w:lvlText w:val=""/>
      <w:lvlJc w:val="left"/>
      <w:pPr>
        <w:ind w:left="1800" w:hanging="180"/>
      </w:pPr>
      <w:rPr>
        <w:rFonts w:ascii="Symbol" w:hAnsi="Symbo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3946F11"/>
    <w:multiLevelType w:val="hybridMultilevel"/>
    <w:tmpl w:val="6348255C"/>
    <w:lvl w:ilvl="0" w:tplc="3E3CF8DA">
      <w:start w:val="1"/>
      <w:numFmt w:val="decimal"/>
      <w:lvlText w:val="%1."/>
      <w:lvlJc w:val="left"/>
      <w:pPr>
        <w:ind w:left="501" w:hanging="360"/>
      </w:pPr>
      <w:rPr>
        <w:rFonts w:hint="default"/>
      </w:rPr>
    </w:lvl>
    <w:lvl w:ilvl="1" w:tplc="04150019">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7" w15:restartNumberingAfterBreak="0">
    <w:nsid w:val="339D4F4D"/>
    <w:multiLevelType w:val="hybridMultilevel"/>
    <w:tmpl w:val="CE682384"/>
    <w:lvl w:ilvl="0" w:tplc="04150019">
      <w:start w:val="1"/>
      <w:numFmt w:val="lowerLetter"/>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8" w15:restartNumberingAfterBreak="0">
    <w:nsid w:val="37976838"/>
    <w:multiLevelType w:val="hybridMultilevel"/>
    <w:tmpl w:val="D982D842"/>
    <w:lvl w:ilvl="0" w:tplc="01EE5730">
      <w:start w:val="1"/>
      <w:numFmt w:val="decimal"/>
      <w:lvlText w:val="%1."/>
      <w:lvlJc w:val="left"/>
      <w:pPr>
        <w:ind w:left="502" w:hanging="360"/>
      </w:pPr>
      <w:rPr>
        <w:rFonts w:asciiTheme="minorHAnsi" w:hAnsiTheme="minorHAnsi" w:cstheme="minorHAnsi" w:hint="default"/>
        <w:sz w:val="22"/>
      </w:rPr>
    </w:lvl>
    <w:lvl w:ilvl="1" w:tplc="0F76A23A">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1B463B8"/>
    <w:multiLevelType w:val="hybridMultilevel"/>
    <w:tmpl w:val="C6B8F3D4"/>
    <w:lvl w:ilvl="0" w:tplc="C72C5778">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4982D8F"/>
    <w:multiLevelType w:val="hybridMultilevel"/>
    <w:tmpl w:val="50C289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E86838"/>
    <w:multiLevelType w:val="hybridMultilevel"/>
    <w:tmpl w:val="E4FAFF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9EC1700"/>
    <w:multiLevelType w:val="multilevel"/>
    <w:tmpl w:val="6BDEAA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C4A0B1A"/>
    <w:multiLevelType w:val="hybridMultilevel"/>
    <w:tmpl w:val="255CBE50"/>
    <w:lvl w:ilvl="0" w:tplc="04150019">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F541700"/>
    <w:multiLevelType w:val="hybridMultilevel"/>
    <w:tmpl w:val="68B69762"/>
    <w:lvl w:ilvl="0" w:tplc="C0ECB91E">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905DB"/>
    <w:multiLevelType w:val="hybridMultilevel"/>
    <w:tmpl w:val="AF7494BA"/>
    <w:lvl w:ilvl="0" w:tplc="3E3CF8DA">
      <w:start w:val="1"/>
      <w:numFmt w:val="decimal"/>
      <w:lvlText w:val="%1."/>
      <w:lvlJc w:val="left"/>
      <w:pPr>
        <w:ind w:left="360" w:hanging="360"/>
      </w:pPr>
      <w:rPr>
        <w:rFonts w:hint="default"/>
      </w:rPr>
    </w:lvl>
    <w:lvl w:ilvl="1" w:tplc="04150017">
      <w:start w:val="1"/>
      <w:numFmt w:val="lowerLetter"/>
      <w:lvlText w:val="%2)"/>
      <w:lvlJc w:val="left"/>
      <w:pPr>
        <w:ind w:left="1211"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14D3124"/>
    <w:multiLevelType w:val="hybridMultilevel"/>
    <w:tmpl w:val="45F41EEA"/>
    <w:lvl w:ilvl="0" w:tplc="3A6E1076">
      <w:start w:val="4"/>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16974D7"/>
    <w:multiLevelType w:val="hybridMultilevel"/>
    <w:tmpl w:val="7382D238"/>
    <w:lvl w:ilvl="0" w:tplc="04150019">
      <w:start w:val="1"/>
      <w:numFmt w:val="lowerLetter"/>
      <w:lvlText w:val="%1."/>
      <w:lvlJc w:val="left"/>
      <w:pPr>
        <w:ind w:left="1130" w:hanging="360"/>
      </w:pPr>
    </w:lvl>
    <w:lvl w:ilvl="1" w:tplc="04150019" w:tentative="1">
      <w:start w:val="1"/>
      <w:numFmt w:val="lowerLetter"/>
      <w:lvlText w:val="%2."/>
      <w:lvlJc w:val="left"/>
      <w:pPr>
        <w:ind w:left="1850" w:hanging="360"/>
      </w:pPr>
    </w:lvl>
    <w:lvl w:ilvl="2" w:tplc="0415001B" w:tentative="1">
      <w:start w:val="1"/>
      <w:numFmt w:val="lowerRoman"/>
      <w:lvlText w:val="%3."/>
      <w:lvlJc w:val="right"/>
      <w:pPr>
        <w:ind w:left="2570" w:hanging="180"/>
      </w:pPr>
    </w:lvl>
    <w:lvl w:ilvl="3" w:tplc="0415000F" w:tentative="1">
      <w:start w:val="1"/>
      <w:numFmt w:val="decimal"/>
      <w:lvlText w:val="%4."/>
      <w:lvlJc w:val="left"/>
      <w:pPr>
        <w:ind w:left="3290" w:hanging="360"/>
      </w:pPr>
    </w:lvl>
    <w:lvl w:ilvl="4" w:tplc="04150019" w:tentative="1">
      <w:start w:val="1"/>
      <w:numFmt w:val="lowerLetter"/>
      <w:lvlText w:val="%5."/>
      <w:lvlJc w:val="left"/>
      <w:pPr>
        <w:ind w:left="4010" w:hanging="360"/>
      </w:pPr>
    </w:lvl>
    <w:lvl w:ilvl="5" w:tplc="0415001B" w:tentative="1">
      <w:start w:val="1"/>
      <w:numFmt w:val="lowerRoman"/>
      <w:lvlText w:val="%6."/>
      <w:lvlJc w:val="right"/>
      <w:pPr>
        <w:ind w:left="4730" w:hanging="180"/>
      </w:pPr>
    </w:lvl>
    <w:lvl w:ilvl="6" w:tplc="0415000F" w:tentative="1">
      <w:start w:val="1"/>
      <w:numFmt w:val="decimal"/>
      <w:lvlText w:val="%7."/>
      <w:lvlJc w:val="left"/>
      <w:pPr>
        <w:ind w:left="5450" w:hanging="360"/>
      </w:pPr>
    </w:lvl>
    <w:lvl w:ilvl="7" w:tplc="04150019" w:tentative="1">
      <w:start w:val="1"/>
      <w:numFmt w:val="lowerLetter"/>
      <w:lvlText w:val="%8."/>
      <w:lvlJc w:val="left"/>
      <w:pPr>
        <w:ind w:left="6170" w:hanging="360"/>
      </w:pPr>
    </w:lvl>
    <w:lvl w:ilvl="8" w:tplc="0415001B" w:tentative="1">
      <w:start w:val="1"/>
      <w:numFmt w:val="lowerRoman"/>
      <w:lvlText w:val="%9."/>
      <w:lvlJc w:val="right"/>
      <w:pPr>
        <w:ind w:left="6890" w:hanging="180"/>
      </w:pPr>
    </w:lvl>
  </w:abstractNum>
  <w:abstractNum w:abstractNumId="28" w15:restartNumberingAfterBreak="0">
    <w:nsid w:val="52717A9F"/>
    <w:multiLevelType w:val="hybridMultilevel"/>
    <w:tmpl w:val="678E1122"/>
    <w:lvl w:ilvl="0" w:tplc="A2F4FE46">
      <w:start w:val="1"/>
      <w:numFmt w:val="decimal"/>
      <w:lvlText w:val="%1."/>
      <w:lvlJc w:val="left"/>
      <w:pPr>
        <w:ind w:left="360" w:hanging="360"/>
      </w:pPr>
      <w:rPr>
        <w:rFonts w:hint="default"/>
      </w:rPr>
    </w:lvl>
    <w:lvl w:ilvl="1" w:tplc="04150019">
      <w:start w:val="1"/>
      <w:numFmt w:val="lowerLetter"/>
      <w:lvlText w:val="%2."/>
      <w:lvlJc w:val="left"/>
      <w:pPr>
        <w:ind w:left="1298" w:hanging="360"/>
      </w:pPr>
    </w:lvl>
    <w:lvl w:ilvl="2" w:tplc="0415001B">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9" w15:restartNumberingAfterBreak="0">
    <w:nsid w:val="556952F6"/>
    <w:multiLevelType w:val="hybridMultilevel"/>
    <w:tmpl w:val="6348255C"/>
    <w:lvl w:ilvl="0" w:tplc="3E3CF8D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B227806"/>
    <w:multiLevelType w:val="hybridMultilevel"/>
    <w:tmpl w:val="2BEAF7F2"/>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BAD583B"/>
    <w:multiLevelType w:val="hybridMultilevel"/>
    <w:tmpl w:val="2172751A"/>
    <w:lvl w:ilvl="0" w:tplc="3F6A2A1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EB22AE"/>
    <w:multiLevelType w:val="hybridMultilevel"/>
    <w:tmpl w:val="70C6D2D8"/>
    <w:lvl w:ilvl="0" w:tplc="04150019">
      <w:start w:val="1"/>
      <w:numFmt w:val="lowerLetter"/>
      <w:lvlText w:val="%1."/>
      <w:lvlJc w:val="left"/>
      <w:pPr>
        <w:ind w:left="644" w:hanging="360"/>
      </w:pPr>
      <w:rPr>
        <w:rFonts w:hint="default"/>
      </w:rPr>
    </w:lvl>
    <w:lvl w:ilvl="1" w:tplc="04150017">
      <w:start w:val="1"/>
      <w:numFmt w:val="lowerLetter"/>
      <w:lvlText w:val="%2)"/>
      <w:lvlJc w:val="left"/>
      <w:pPr>
        <w:ind w:left="1495"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3" w15:restartNumberingAfterBreak="0">
    <w:nsid w:val="5C1B4B21"/>
    <w:multiLevelType w:val="hybridMultilevel"/>
    <w:tmpl w:val="99EEB98E"/>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5C7244CC"/>
    <w:multiLevelType w:val="hybridMultilevel"/>
    <w:tmpl w:val="2BEAF7F2"/>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4195DB9"/>
    <w:multiLevelType w:val="hybridMultilevel"/>
    <w:tmpl w:val="55BEE4D4"/>
    <w:lvl w:ilvl="0" w:tplc="E86643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56F22CF"/>
    <w:multiLevelType w:val="hybridMultilevel"/>
    <w:tmpl w:val="203A97F8"/>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DF684E"/>
    <w:multiLevelType w:val="hybridMultilevel"/>
    <w:tmpl w:val="99EEB98E"/>
    <w:lvl w:ilvl="0" w:tplc="04150019">
      <w:start w:val="1"/>
      <w:numFmt w:val="lowerLetter"/>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1D8293C"/>
    <w:multiLevelType w:val="hybridMultilevel"/>
    <w:tmpl w:val="6348255C"/>
    <w:lvl w:ilvl="0" w:tplc="3E3CF8D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3EA2CFC"/>
    <w:multiLevelType w:val="hybridMultilevel"/>
    <w:tmpl w:val="F096497A"/>
    <w:lvl w:ilvl="0" w:tplc="0415001B">
      <w:start w:val="1"/>
      <w:numFmt w:val="lowerRoman"/>
      <w:lvlText w:val="%1."/>
      <w:lvlJc w:val="right"/>
      <w:pPr>
        <w:ind w:left="1505" w:hanging="360"/>
      </w:p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start w:val="1"/>
      <w:numFmt w:val="lowerRoman"/>
      <w:lvlText w:val="%6."/>
      <w:lvlJc w:val="right"/>
      <w:pPr>
        <w:ind w:left="1172"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0" w15:restartNumberingAfterBreak="0">
    <w:nsid w:val="75174424"/>
    <w:multiLevelType w:val="hybridMultilevel"/>
    <w:tmpl w:val="38E4F726"/>
    <w:lvl w:ilvl="0" w:tplc="6882C9F4">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BC1632F"/>
    <w:multiLevelType w:val="hybridMultilevel"/>
    <w:tmpl w:val="B0F097D0"/>
    <w:lvl w:ilvl="0" w:tplc="CC185F06">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D4E5ED5"/>
    <w:multiLevelType w:val="hybridMultilevel"/>
    <w:tmpl w:val="C7FE13A4"/>
    <w:lvl w:ilvl="0" w:tplc="DBC0E52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2"/>
  </w:num>
  <w:num w:numId="3">
    <w:abstractNumId w:val="6"/>
  </w:num>
  <w:num w:numId="4">
    <w:abstractNumId w:val="3"/>
  </w:num>
  <w:num w:numId="5">
    <w:abstractNumId w:val="34"/>
  </w:num>
  <w:num w:numId="6">
    <w:abstractNumId w:val="14"/>
  </w:num>
  <w:num w:numId="7">
    <w:abstractNumId w:val="18"/>
  </w:num>
  <w:num w:numId="8">
    <w:abstractNumId w:val="13"/>
  </w:num>
  <w:num w:numId="9">
    <w:abstractNumId w:val="23"/>
  </w:num>
  <w:num w:numId="10">
    <w:abstractNumId w:val="17"/>
  </w:num>
  <w:num w:numId="11">
    <w:abstractNumId w:val="20"/>
  </w:num>
  <w:num w:numId="12">
    <w:abstractNumId w:val="11"/>
  </w:num>
  <w:num w:numId="13">
    <w:abstractNumId w:val="39"/>
  </w:num>
  <w:num w:numId="14">
    <w:abstractNumId w:val="42"/>
  </w:num>
  <w:num w:numId="15">
    <w:abstractNumId w:val="15"/>
  </w:num>
  <w:num w:numId="16">
    <w:abstractNumId w:val="21"/>
  </w:num>
  <w:num w:numId="17">
    <w:abstractNumId w:val="8"/>
  </w:num>
  <w:num w:numId="18">
    <w:abstractNumId w:val="40"/>
  </w:num>
  <w:num w:numId="19">
    <w:abstractNumId w:val="41"/>
  </w:num>
  <w:num w:numId="20">
    <w:abstractNumId w:val="31"/>
  </w:num>
  <w:num w:numId="21">
    <w:abstractNumId w:val="35"/>
  </w:num>
  <w:num w:numId="22">
    <w:abstractNumId w:val="2"/>
  </w:num>
  <w:num w:numId="23">
    <w:abstractNumId w:val="24"/>
  </w:num>
  <w:num w:numId="24">
    <w:abstractNumId w:val="5"/>
  </w:num>
  <w:num w:numId="25">
    <w:abstractNumId w:val="28"/>
  </w:num>
  <w:num w:numId="26">
    <w:abstractNumId w:val="1"/>
  </w:num>
  <w:num w:numId="27">
    <w:abstractNumId w:val="4"/>
  </w:num>
  <w:num w:numId="28">
    <w:abstractNumId w:val="19"/>
  </w:num>
  <w:num w:numId="29">
    <w:abstractNumId w:val="38"/>
  </w:num>
  <w:num w:numId="30">
    <w:abstractNumId w:val="7"/>
  </w:num>
  <w:num w:numId="31">
    <w:abstractNumId w:val="29"/>
  </w:num>
  <w:num w:numId="32">
    <w:abstractNumId w:val="25"/>
  </w:num>
  <w:num w:numId="33">
    <w:abstractNumId w:val="32"/>
  </w:num>
  <w:num w:numId="34">
    <w:abstractNumId w:val="37"/>
  </w:num>
  <w:num w:numId="35">
    <w:abstractNumId w:val="33"/>
  </w:num>
  <w:num w:numId="36">
    <w:abstractNumId w:val="27"/>
  </w:num>
  <w:num w:numId="37">
    <w:abstractNumId w:val="26"/>
  </w:num>
  <w:num w:numId="38">
    <w:abstractNumId w:val="30"/>
  </w:num>
  <w:num w:numId="39">
    <w:abstractNumId w:val="16"/>
  </w:num>
  <w:num w:numId="40">
    <w:abstractNumId w:val="12"/>
  </w:num>
  <w:num w:numId="41">
    <w:abstractNumId w:val="0"/>
  </w:num>
  <w:num w:numId="42">
    <w:abstractNumId w:val="36"/>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46"/>
    <w:rsid w:val="000021C5"/>
    <w:rsid w:val="000079C0"/>
    <w:rsid w:val="00015F14"/>
    <w:rsid w:val="0001739B"/>
    <w:rsid w:val="00027768"/>
    <w:rsid w:val="000309B4"/>
    <w:rsid w:val="00053D72"/>
    <w:rsid w:val="00053F3E"/>
    <w:rsid w:val="00073F1D"/>
    <w:rsid w:val="00076680"/>
    <w:rsid w:val="00090BAF"/>
    <w:rsid w:val="000A2558"/>
    <w:rsid w:val="000E04C5"/>
    <w:rsid w:val="00110B4E"/>
    <w:rsid w:val="001146DD"/>
    <w:rsid w:val="00122948"/>
    <w:rsid w:val="00123EE5"/>
    <w:rsid w:val="00154AFE"/>
    <w:rsid w:val="00170B7F"/>
    <w:rsid w:val="00196972"/>
    <w:rsid w:val="001A480C"/>
    <w:rsid w:val="001B5FF1"/>
    <w:rsid w:val="001C5302"/>
    <w:rsid w:val="001E0701"/>
    <w:rsid w:val="001E48FF"/>
    <w:rsid w:val="00201773"/>
    <w:rsid w:val="0025071E"/>
    <w:rsid w:val="00266B5A"/>
    <w:rsid w:val="0027636E"/>
    <w:rsid w:val="00277729"/>
    <w:rsid w:val="002A6106"/>
    <w:rsid w:val="002A6B65"/>
    <w:rsid w:val="002B5A20"/>
    <w:rsid w:val="002C4078"/>
    <w:rsid w:val="002E449F"/>
    <w:rsid w:val="00312918"/>
    <w:rsid w:val="003158E3"/>
    <w:rsid w:val="0035310F"/>
    <w:rsid w:val="0037110A"/>
    <w:rsid w:val="003829E9"/>
    <w:rsid w:val="003A6C77"/>
    <w:rsid w:val="003B5BA0"/>
    <w:rsid w:val="003F06CB"/>
    <w:rsid w:val="00401296"/>
    <w:rsid w:val="00404BF9"/>
    <w:rsid w:val="0042643D"/>
    <w:rsid w:val="00427934"/>
    <w:rsid w:val="00443E62"/>
    <w:rsid w:val="00485549"/>
    <w:rsid w:val="004B0791"/>
    <w:rsid w:val="004B2979"/>
    <w:rsid w:val="004D3BF7"/>
    <w:rsid w:val="004D4C75"/>
    <w:rsid w:val="004F03A7"/>
    <w:rsid w:val="004F4D81"/>
    <w:rsid w:val="00522F3E"/>
    <w:rsid w:val="005241D7"/>
    <w:rsid w:val="00524738"/>
    <w:rsid w:val="00552D3A"/>
    <w:rsid w:val="0057434B"/>
    <w:rsid w:val="005C6295"/>
    <w:rsid w:val="00630ACC"/>
    <w:rsid w:val="00653372"/>
    <w:rsid w:val="0065429D"/>
    <w:rsid w:val="00656A27"/>
    <w:rsid w:val="00664214"/>
    <w:rsid w:val="0066675B"/>
    <w:rsid w:val="006670A1"/>
    <w:rsid w:val="006748B8"/>
    <w:rsid w:val="006811CC"/>
    <w:rsid w:val="00685C6D"/>
    <w:rsid w:val="006A2A46"/>
    <w:rsid w:val="006A357C"/>
    <w:rsid w:val="006B2398"/>
    <w:rsid w:val="006C0969"/>
    <w:rsid w:val="006F16B2"/>
    <w:rsid w:val="00703ADE"/>
    <w:rsid w:val="007150C6"/>
    <w:rsid w:val="00726720"/>
    <w:rsid w:val="0073229D"/>
    <w:rsid w:val="00743723"/>
    <w:rsid w:val="00795F76"/>
    <w:rsid w:val="007C49C3"/>
    <w:rsid w:val="007F1D28"/>
    <w:rsid w:val="007F5A0A"/>
    <w:rsid w:val="00825BB8"/>
    <w:rsid w:val="008426D7"/>
    <w:rsid w:val="00844BBA"/>
    <w:rsid w:val="00846F69"/>
    <w:rsid w:val="00885E65"/>
    <w:rsid w:val="008A6175"/>
    <w:rsid w:val="008D1DFB"/>
    <w:rsid w:val="008D21C1"/>
    <w:rsid w:val="00961E86"/>
    <w:rsid w:val="009917E3"/>
    <w:rsid w:val="009922EE"/>
    <w:rsid w:val="00994F71"/>
    <w:rsid w:val="00997930"/>
    <w:rsid w:val="009C3EA6"/>
    <w:rsid w:val="009F1149"/>
    <w:rsid w:val="00A3205F"/>
    <w:rsid w:val="00A536BD"/>
    <w:rsid w:val="00A7002A"/>
    <w:rsid w:val="00A739E0"/>
    <w:rsid w:val="00A77F9E"/>
    <w:rsid w:val="00A80F41"/>
    <w:rsid w:val="00A823AA"/>
    <w:rsid w:val="00A85555"/>
    <w:rsid w:val="00A90F12"/>
    <w:rsid w:val="00AD03D9"/>
    <w:rsid w:val="00AD4406"/>
    <w:rsid w:val="00AE7727"/>
    <w:rsid w:val="00AF3BE8"/>
    <w:rsid w:val="00AF5DE4"/>
    <w:rsid w:val="00B465C9"/>
    <w:rsid w:val="00B65ADF"/>
    <w:rsid w:val="00B7012F"/>
    <w:rsid w:val="00B745DC"/>
    <w:rsid w:val="00BA5983"/>
    <w:rsid w:val="00BB33BA"/>
    <w:rsid w:val="00BC0906"/>
    <w:rsid w:val="00BD2A18"/>
    <w:rsid w:val="00BD3495"/>
    <w:rsid w:val="00C12FCB"/>
    <w:rsid w:val="00C130C8"/>
    <w:rsid w:val="00C1614C"/>
    <w:rsid w:val="00C26B1E"/>
    <w:rsid w:val="00C308E5"/>
    <w:rsid w:val="00C311CC"/>
    <w:rsid w:val="00C320CB"/>
    <w:rsid w:val="00C32715"/>
    <w:rsid w:val="00C9005D"/>
    <w:rsid w:val="00C9403D"/>
    <w:rsid w:val="00CA7C5F"/>
    <w:rsid w:val="00CB6D76"/>
    <w:rsid w:val="00CB793E"/>
    <w:rsid w:val="00CD2D08"/>
    <w:rsid w:val="00CD4ECC"/>
    <w:rsid w:val="00CE49A0"/>
    <w:rsid w:val="00D05B2B"/>
    <w:rsid w:val="00D06328"/>
    <w:rsid w:val="00D16A42"/>
    <w:rsid w:val="00D221B7"/>
    <w:rsid w:val="00D764C3"/>
    <w:rsid w:val="00DA0339"/>
    <w:rsid w:val="00DC0526"/>
    <w:rsid w:val="00DC3220"/>
    <w:rsid w:val="00DD4910"/>
    <w:rsid w:val="00DE4A73"/>
    <w:rsid w:val="00DE4D53"/>
    <w:rsid w:val="00DE6AEF"/>
    <w:rsid w:val="00E86678"/>
    <w:rsid w:val="00E9508E"/>
    <w:rsid w:val="00EB173F"/>
    <w:rsid w:val="00ED161F"/>
    <w:rsid w:val="00EE48FF"/>
    <w:rsid w:val="00EF6765"/>
    <w:rsid w:val="00F07EBE"/>
    <w:rsid w:val="00F84FFE"/>
    <w:rsid w:val="00FB6F38"/>
    <w:rsid w:val="00FD4A8E"/>
    <w:rsid w:val="00FD74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0578A"/>
  <w15:chartTrackingRefBased/>
  <w15:docId w15:val="{4E73B212-7F3D-483E-8549-90B5D11D7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4D81"/>
  </w:style>
  <w:style w:type="paragraph" w:styleId="Nagwek1">
    <w:name w:val="heading 1"/>
    <w:basedOn w:val="Normalny"/>
    <w:next w:val="Normalny"/>
    <w:link w:val="Nagwek1Znak"/>
    <w:uiPriority w:val="9"/>
    <w:qFormat/>
    <w:rsid w:val="0057434B"/>
    <w:pPr>
      <w:keepNext/>
      <w:spacing w:after="0" w:line="276" w:lineRule="auto"/>
      <w:outlineLvl w:val="0"/>
    </w:pPr>
    <w:rPr>
      <w:rFonts w:ascii="Calibri Light" w:eastAsia="Times New Roman" w:hAnsi="Calibri Light" w:cs="Times New Roman"/>
      <w:b/>
      <w:bCs/>
      <w:color w:val="000000" w:themeColor="text1"/>
      <w:kern w:val="32"/>
      <w:sz w:val="32"/>
      <w:szCs w:val="32"/>
      <w:lang w:val="x-none" w:eastAsia="x-none"/>
    </w:rPr>
  </w:style>
  <w:style w:type="paragraph" w:styleId="Nagwek2">
    <w:name w:val="heading 2"/>
    <w:basedOn w:val="Normalny"/>
    <w:next w:val="Normalny"/>
    <w:link w:val="Nagwek2Znak"/>
    <w:uiPriority w:val="9"/>
    <w:unhideWhenUsed/>
    <w:qFormat/>
    <w:rsid w:val="005247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825BB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6A2A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A2A46"/>
  </w:style>
  <w:style w:type="table" w:styleId="Tabela-Siatka">
    <w:name w:val="Table Grid"/>
    <w:basedOn w:val="Standardowy"/>
    <w:uiPriority w:val="59"/>
    <w:rsid w:val="006A2A46"/>
    <w:pPr>
      <w:spacing w:after="0" w:line="240" w:lineRule="auto"/>
    </w:pPr>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1">
    <w:name w:val="toc 1"/>
    <w:basedOn w:val="Normalny"/>
    <w:next w:val="Normalny"/>
    <w:autoRedefine/>
    <w:uiPriority w:val="39"/>
    <w:unhideWhenUsed/>
    <w:rsid w:val="006670A1"/>
    <w:pPr>
      <w:spacing w:after="100"/>
    </w:pPr>
  </w:style>
  <w:style w:type="paragraph" w:styleId="Spistreci3">
    <w:name w:val="toc 3"/>
    <w:basedOn w:val="Normalny"/>
    <w:next w:val="Normalny"/>
    <w:autoRedefine/>
    <w:uiPriority w:val="39"/>
    <w:unhideWhenUsed/>
    <w:rsid w:val="006670A1"/>
    <w:pPr>
      <w:spacing w:after="100"/>
      <w:ind w:left="440"/>
    </w:pPr>
  </w:style>
  <w:style w:type="character" w:styleId="Hipercze">
    <w:name w:val="Hyperlink"/>
    <w:basedOn w:val="Domylnaczcionkaakapitu"/>
    <w:uiPriority w:val="99"/>
    <w:unhideWhenUsed/>
    <w:rsid w:val="006670A1"/>
    <w:rPr>
      <w:color w:val="0563C1" w:themeColor="hyperlink"/>
      <w:u w:val="single"/>
    </w:rPr>
  </w:style>
  <w:style w:type="paragraph" w:styleId="Akapitzlist">
    <w:name w:val="List Paragraph"/>
    <w:basedOn w:val="Normalny"/>
    <w:link w:val="AkapitzlistZnak"/>
    <w:uiPriority w:val="34"/>
    <w:qFormat/>
    <w:rsid w:val="006670A1"/>
    <w:pPr>
      <w:ind w:left="720"/>
      <w:contextualSpacing/>
    </w:pPr>
  </w:style>
  <w:style w:type="paragraph" w:styleId="Tekstdymka">
    <w:name w:val="Balloon Text"/>
    <w:basedOn w:val="Normalny"/>
    <w:link w:val="TekstdymkaZnak"/>
    <w:uiPriority w:val="99"/>
    <w:semiHidden/>
    <w:unhideWhenUsed/>
    <w:rsid w:val="00CE49A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49A0"/>
    <w:rPr>
      <w:rFonts w:ascii="Segoe UI" w:hAnsi="Segoe UI" w:cs="Segoe UI"/>
      <w:sz w:val="18"/>
      <w:szCs w:val="18"/>
    </w:rPr>
  </w:style>
  <w:style w:type="character" w:customStyle="1" w:styleId="Nagwek1Znak">
    <w:name w:val="Nagłówek 1 Znak"/>
    <w:basedOn w:val="Domylnaczcionkaakapitu"/>
    <w:link w:val="Nagwek1"/>
    <w:uiPriority w:val="9"/>
    <w:rsid w:val="0057434B"/>
    <w:rPr>
      <w:rFonts w:ascii="Calibri Light" w:eastAsia="Times New Roman" w:hAnsi="Calibri Light" w:cs="Times New Roman"/>
      <w:b/>
      <w:bCs/>
      <w:color w:val="000000" w:themeColor="text1"/>
      <w:kern w:val="32"/>
      <w:sz w:val="32"/>
      <w:szCs w:val="32"/>
      <w:lang w:val="x-none" w:eastAsia="x-none"/>
    </w:rPr>
  </w:style>
  <w:style w:type="character" w:customStyle="1" w:styleId="AkapitzlistZnak">
    <w:name w:val="Akapit z listą Znak"/>
    <w:link w:val="Akapitzlist"/>
    <w:uiPriority w:val="34"/>
    <w:locked/>
    <w:rsid w:val="0057434B"/>
  </w:style>
  <w:style w:type="paragraph" w:styleId="Bezodstpw">
    <w:name w:val="No Spacing"/>
    <w:uiPriority w:val="1"/>
    <w:qFormat/>
    <w:rsid w:val="00997930"/>
    <w:pPr>
      <w:spacing w:after="0" w:line="240" w:lineRule="auto"/>
    </w:pPr>
    <w:rPr>
      <w:rFonts w:ascii="Calibri" w:eastAsia="Times New Roman" w:hAnsi="Calibri" w:cs="Times New Roman"/>
      <w:lang w:eastAsia="pl-PL"/>
    </w:rPr>
  </w:style>
  <w:style w:type="table" w:styleId="redniecieniowanie2">
    <w:name w:val="Medium Shading 2"/>
    <w:basedOn w:val="Standardowy"/>
    <w:uiPriority w:val="64"/>
    <w:rsid w:val="00997930"/>
    <w:pPr>
      <w:spacing w:after="0" w:line="240" w:lineRule="auto"/>
    </w:pPr>
    <w:rPr>
      <w:rFonts w:ascii="Calibri" w:eastAsia="Times New Roman" w:hAnsi="Calibri" w:cs="Times New Roman"/>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Nagwek3Znak">
    <w:name w:val="Nagłówek 3 Znak"/>
    <w:basedOn w:val="Domylnaczcionkaakapitu"/>
    <w:link w:val="Nagwek3"/>
    <w:uiPriority w:val="9"/>
    <w:rsid w:val="00825BB8"/>
    <w:rPr>
      <w:rFonts w:asciiTheme="majorHAnsi" w:eastAsiaTheme="majorEastAsia" w:hAnsiTheme="majorHAnsi" w:cstheme="majorBidi"/>
      <w:color w:val="1F4D78" w:themeColor="accent1" w:themeShade="7F"/>
      <w:sz w:val="24"/>
      <w:szCs w:val="24"/>
    </w:rPr>
  </w:style>
  <w:style w:type="paragraph" w:styleId="Tekstpodstawowy">
    <w:name w:val="Body Text"/>
    <w:basedOn w:val="Normalny"/>
    <w:link w:val="TekstpodstawowyZnak"/>
    <w:uiPriority w:val="99"/>
    <w:unhideWhenUsed/>
    <w:rsid w:val="0042643D"/>
    <w:pPr>
      <w:spacing w:after="120" w:line="276" w:lineRule="auto"/>
    </w:pPr>
    <w:rPr>
      <w:rFonts w:ascii="Calibri" w:eastAsia="Times New Roman" w:hAnsi="Calibri" w:cs="Times New Roman"/>
      <w:lang w:eastAsia="pl-PL"/>
    </w:rPr>
  </w:style>
  <w:style w:type="character" w:customStyle="1" w:styleId="TekstpodstawowyZnak">
    <w:name w:val="Tekst podstawowy Znak"/>
    <w:basedOn w:val="Domylnaczcionkaakapitu"/>
    <w:link w:val="Tekstpodstawowy"/>
    <w:uiPriority w:val="99"/>
    <w:rsid w:val="0042643D"/>
    <w:rPr>
      <w:rFonts w:ascii="Calibri" w:eastAsia="Times New Roman" w:hAnsi="Calibri" w:cs="Times New Roman"/>
      <w:lang w:eastAsia="pl-PL"/>
    </w:rPr>
  </w:style>
  <w:style w:type="character" w:styleId="Odwoaniedokomentarza">
    <w:name w:val="annotation reference"/>
    <w:basedOn w:val="Domylnaczcionkaakapitu"/>
    <w:uiPriority w:val="99"/>
    <w:semiHidden/>
    <w:unhideWhenUsed/>
    <w:rsid w:val="00524738"/>
    <w:rPr>
      <w:sz w:val="16"/>
      <w:szCs w:val="16"/>
    </w:rPr>
  </w:style>
  <w:style w:type="paragraph" w:styleId="Tekstkomentarza">
    <w:name w:val="annotation text"/>
    <w:basedOn w:val="Normalny"/>
    <w:link w:val="TekstkomentarzaZnak"/>
    <w:uiPriority w:val="99"/>
    <w:semiHidden/>
    <w:unhideWhenUsed/>
    <w:rsid w:val="005247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24738"/>
    <w:rPr>
      <w:sz w:val="20"/>
      <w:szCs w:val="20"/>
    </w:rPr>
  </w:style>
  <w:style w:type="paragraph" w:styleId="Tematkomentarza">
    <w:name w:val="annotation subject"/>
    <w:basedOn w:val="Tekstkomentarza"/>
    <w:next w:val="Tekstkomentarza"/>
    <w:link w:val="TematkomentarzaZnak"/>
    <w:uiPriority w:val="99"/>
    <w:semiHidden/>
    <w:unhideWhenUsed/>
    <w:rsid w:val="00524738"/>
    <w:rPr>
      <w:b/>
      <w:bCs/>
    </w:rPr>
  </w:style>
  <w:style w:type="character" w:customStyle="1" w:styleId="TematkomentarzaZnak">
    <w:name w:val="Temat komentarza Znak"/>
    <w:basedOn w:val="TekstkomentarzaZnak"/>
    <w:link w:val="Tematkomentarza"/>
    <w:uiPriority w:val="99"/>
    <w:semiHidden/>
    <w:rsid w:val="00524738"/>
    <w:rPr>
      <w:b/>
      <w:bCs/>
      <w:sz w:val="20"/>
      <w:szCs w:val="20"/>
    </w:rPr>
  </w:style>
  <w:style w:type="character" w:customStyle="1" w:styleId="Nagwek2Znak">
    <w:name w:val="Nagłówek 2 Znak"/>
    <w:basedOn w:val="Domylnaczcionkaakapitu"/>
    <w:link w:val="Nagwek2"/>
    <w:uiPriority w:val="9"/>
    <w:rsid w:val="00524738"/>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EB173F"/>
    <w:pPr>
      <w:spacing w:after="100"/>
      <w:ind w:left="220"/>
    </w:pPr>
  </w:style>
  <w:style w:type="paragraph" w:styleId="Nagwek">
    <w:name w:val="header"/>
    <w:basedOn w:val="Normalny"/>
    <w:link w:val="NagwekZnak"/>
    <w:uiPriority w:val="99"/>
    <w:unhideWhenUsed/>
    <w:rsid w:val="00EB17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884">
      <w:bodyDiv w:val="1"/>
      <w:marLeft w:val="0"/>
      <w:marRight w:val="0"/>
      <w:marTop w:val="0"/>
      <w:marBottom w:val="0"/>
      <w:divBdr>
        <w:top w:val="none" w:sz="0" w:space="0" w:color="auto"/>
        <w:left w:val="none" w:sz="0" w:space="0" w:color="auto"/>
        <w:bottom w:val="none" w:sz="0" w:space="0" w:color="auto"/>
        <w:right w:val="none" w:sz="0" w:space="0" w:color="auto"/>
      </w:divBdr>
    </w:div>
    <w:div w:id="278494190">
      <w:bodyDiv w:val="1"/>
      <w:marLeft w:val="0"/>
      <w:marRight w:val="0"/>
      <w:marTop w:val="0"/>
      <w:marBottom w:val="0"/>
      <w:divBdr>
        <w:top w:val="none" w:sz="0" w:space="0" w:color="auto"/>
        <w:left w:val="none" w:sz="0" w:space="0" w:color="auto"/>
        <w:bottom w:val="none" w:sz="0" w:space="0" w:color="auto"/>
        <w:right w:val="none" w:sz="0" w:space="0" w:color="auto"/>
      </w:divBdr>
    </w:div>
    <w:div w:id="1206522326">
      <w:bodyDiv w:val="1"/>
      <w:marLeft w:val="0"/>
      <w:marRight w:val="0"/>
      <w:marTop w:val="0"/>
      <w:marBottom w:val="0"/>
      <w:divBdr>
        <w:top w:val="none" w:sz="0" w:space="0" w:color="auto"/>
        <w:left w:val="none" w:sz="0" w:space="0" w:color="auto"/>
        <w:bottom w:val="none" w:sz="0" w:space="0" w:color="auto"/>
        <w:right w:val="none" w:sz="0" w:space="0" w:color="auto"/>
      </w:divBdr>
    </w:div>
    <w:div w:id="1928877012">
      <w:bodyDiv w:val="1"/>
      <w:marLeft w:val="0"/>
      <w:marRight w:val="0"/>
      <w:marTop w:val="0"/>
      <w:marBottom w:val="0"/>
      <w:divBdr>
        <w:top w:val="none" w:sz="0" w:space="0" w:color="auto"/>
        <w:left w:val="none" w:sz="0" w:space="0" w:color="auto"/>
        <w:bottom w:val="none" w:sz="0" w:space="0" w:color="auto"/>
        <w:right w:val="none" w:sz="0" w:space="0" w:color="auto"/>
      </w:divBdr>
    </w:div>
    <w:div w:id="19396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7552</Words>
  <Characters>45315</Characters>
  <Application>Microsoft Office Word</Application>
  <DocSecurity>0</DocSecurity>
  <Lines>377</Lines>
  <Paragraphs>105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Tomasz.Maicher@pl.ey.com</dc:creator>
  <cp:keywords/>
  <dc:description/>
  <cp:lastModifiedBy>AS1</cp:lastModifiedBy>
  <cp:revision>6</cp:revision>
  <cp:lastPrinted>2021-03-26T12:08:00Z</cp:lastPrinted>
  <dcterms:created xsi:type="dcterms:W3CDTF">2021-03-02T06:24:00Z</dcterms:created>
  <dcterms:modified xsi:type="dcterms:W3CDTF">2021-03-26T12:09:00Z</dcterms:modified>
</cp:coreProperties>
</file>